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09A10" w14:textId="77777777" w:rsidR="00B1078A" w:rsidRDefault="00B1078A"/>
    <w:p w14:paraId="305C6747" w14:textId="77777777" w:rsidR="00121074" w:rsidRPr="002777CF" w:rsidRDefault="00121074" w:rsidP="00121074">
      <w:pPr>
        <w:spacing w:before="240"/>
        <w:rPr>
          <w:sz w:val="22"/>
        </w:rPr>
      </w:pPr>
      <w:r w:rsidRPr="004811BE">
        <w:rPr>
          <w:rFonts w:ascii="Slate Std" w:hAnsi="Slate Std"/>
          <w:noProof/>
        </w:rPr>
        <mc:AlternateContent>
          <mc:Choice Requires="wps">
            <w:drawing>
              <wp:anchor distT="0" distB="0" distL="114300" distR="114300" simplePos="0" relativeHeight="251661312" behindDoc="0" locked="0" layoutInCell="1" allowOverlap="1" wp14:anchorId="6D08B75A" wp14:editId="026EE5FE">
                <wp:simplePos x="0" y="0"/>
                <wp:positionH relativeFrom="column">
                  <wp:posOffset>3955435</wp:posOffset>
                </wp:positionH>
                <wp:positionV relativeFrom="paragraph">
                  <wp:posOffset>184</wp:posOffset>
                </wp:positionV>
                <wp:extent cx="2112010" cy="914400"/>
                <wp:effectExtent l="0" t="0" r="0" b="0"/>
                <wp:wrapTight wrapText="bothSides">
                  <wp:wrapPolygon edited="0">
                    <wp:start x="-45" y="0"/>
                    <wp:lineTo x="-45" y="21375"/>
                    <wp:lineTo x="21645" y="21375"/>
                    <wp:lineTo x="21645" y="0"/>
                    <wp:lineTo x="-45"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12010" cy="914400"/>
                        </a:xfrm>
                        <a:prstGeom prst="rect">
                          <a:avLst/>
                        </a:prstGeom>
                        <a:solidFill>
                          <a:srgbClr val="FFFFFF"/>
                        </a:solidFill>
                        <a:ln w="9525">
                          <a:solidFill>
                            <a:srgbClr val="FFFFFF"/>
                          </a:solidFill>
                          <a:miter lim="800000"/>
                          <a:headEnd/>
                          <a:tailEnd/>
                        </a:ln>
                      </wps:spPr>
                      <wps:txbx>
                        <w:txbxContent>
                          <w:p w14:paraId="7BAC999C" w14:textId="77777777" w:rsidR="00121074" w:rsidRDefault="00121074" w:rsidP="00121074">
                            <w:pPr>
                              <w:spacing w:before="100"/>
                              <w:jc w:val="right"/>
                              <w:rPr>
                                <w:rFonts w:ascii="SlateStd" w:hAnsi="SlateStd"/>
                                <w:sz w:val="18"/>
                              </w:rPr>
                            </w:pPr>
                            <w:r>
                              <w:rPr>
                                <w:rFonts w:ascii="SlateStd" w:hAnsi="SlateStd"/>
                                <w:sz w:val="18"/>
                              </w:rPr>
                              <w:t>360 Grand Avenue #150</w:t>
                            </w:r>
                            <w:r>
                              <w:rPr>
                                <w:rFonts w:ascii="SlateStd" w:hAnsi="SlateStd"/>
                                <w:sz w:val="18"/>
                              </w:rPr>
                              <w:br/>
                              <w:t>Oakland, CA 94610</w:t>
                            </w:r>
                          </w:p>
                          <w:p w14:paraId="278DFAAC" w14:textId="77777777" w:rsidR="00121074" w:rsidRDefault="00121074" w:rsidP="00121074">
                            <w:pPr>
                              <w:spacing w:before="100"/>
                              <w:jc w:val="right"/>
                              <w:rPr>
                                <w:rFonts w:ascii="SlateStd" w:hAnsi="SlateStd"/>
                                <w:color w:val="97C523"/>
                                <w:sz w:val="18"/>
                              </w:rPr>
                            </w:pPr>
                            <w:r>
                              <w:rPr>
                                <w:rFonts w:ascii="SlateStd" w:hAnsi="SlateStd"/>
                                <w:color w:val="97C523"/>
                                <w:sz w:val="18"/>
                              </w:rPr>
                              <w:t>415-929-8876 • www.turn.org</w:t>
                            </w:r>
                          </w:p>
                          <w:p w14:paraId="0CD65BD9" w14:textId="77777777" w:rsidR="00121074" w:rsidRDefault="00121074" w:rsidP="00121074">
                            <w:pPr>
                              <w:spacing w:before="100"/>
                              <w:jc w:val="right"/>
                              <w:rPr>
                                <w:rFonts w:ascii="SlateStd" w:hAnsi="SlateStd"/>
                                <w:color w:val="000000"/>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8B75A" id="_x0000_t202" coordsize="21600,21600" o:spt="202" path="m,l,21600r21600,l21600,xe">
                <v:stroke joinstyle="miter"/>
                <v:path gradientshapeok="t" o:connecttype="rect"/>
              </v:shapetype>
              <v:shape id="Text Box 7" o:spid="_x0000_s1026" type="#_x0000_t202" style="position:absolute;margin-left:311.45pt;margin-top:0;width:166.3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" strokecolor="white">
                <v:path arrowok="t"/>
                <v:textbox>
                  <w:txbxContent>
                    <w:p w14:paraId="7BAC999C" w14:textId="77777777" w:rsidR="00121074" w:rsidRDefault="00121074" w:rsidP="00121074">
                      <w:pPr>
                        <w:spacing w:before="100"/>
                        <w:jc w:val="right"/>
                        <w:rPr>
                          <w:rFonts w:ascii="SlateStd" w:hAnsi="SlateStd"/>
                          <w:sz w:val="18"/>
                        </w:rPr>
                      </w:pPr>
                      <w:r>
                        <w:rPr>
                          <w:rFonts w:ascii="SlateStd" w:hAnsi="SlateStd"/>
                          <w:sz w:val="18"/>
                        </w:rPr>
                        <w:t>360 Grand Avenue #150</w:t>
                      </w:r>
                      <w:r>
                        <w:rPr>
                          <w:rFonts w:ascii="SlateStd" w:hAnsi="SlateStd"/>
                          <w:sz w:val="18"/>
                        </w:rPr>
                        <w:br/>
                        <w:t>Oakland, CA 94610</w:t>
                      </w:r>
                    </w:p>
                    <w:p w14:paraId="278DFAAC" w14:textId="77777777" w:rsidR="00121074" w:rsidRDefault="00121074" w:rsidP="00121074">
                      <w:pPr>
                        <w:spacing w:before="100"/>
                        <w:jc w:val="right"/>
                        <w:rPr>
                          <w:rFonts w:ascii="SlateStd" w:hAnsi="SlateStd"/>
                          <w:color w:val="97C523"/>
                          <w:sz w:val="18"/>
                        </w:rPr>
                      </w:pPr>
                      <w:r>
                        <w:rPr>
                          <w:rFonts w:ascii="SlateStd" w:hAnsi="SlateStd"/>
                          <w:color w:val="97C523"/>
                          <w:sz w:val="18"/>
                        </w:rPr>
                        <w:t>415-929-8876 • www.turn.org</w:t>
                      </w:r>
                    </w:p>
                    <w:p w14:paraId="0CD65BD9" w14:textId="77777777" w:rsidR="00121074" w:rsidRDefault="00121074" w:rsidP="00121074">
                      <w:pPr>
                        <w:spacing w:before="100"/>
                        <w:jc w:val="right"/>
                        <w:rPr>
                          <w:rFonts w:ascii="SlateStd" w:hAnsi="SlateStd"/>
                          <w:color w:val="000000"/>
                          <w:sz w:val="18"/>
                        </w:rPr>
                      </w:pPr>
                    </w:p>
                  </w:txbxContent>
                </v:textbox>
                <w10:wrap type="tight"/>
              </v:shape>
            </w:pict>
          </mc:Fallback>
        </mc:AlternateContent>
      </w:r>
      <w:r>
        <w:rPr>
          <w:noProof/>
          <w:sz w:val="22"/>
        </w:rPr>
        <mc:AlternateContent>
          <mc:Choice Requires="wps">
            <w:drawing>
              <wp:anchor distT="0" distB="0" distL="114300" distR="114300" simplePos="0" relativeHeight="251659264" behindDoc="0" locked="0" layoutInCell="1" allowOverlap="1" wp14:anchorId="737A0322" wp14:editId="2AD72298">
                <wp:simplePos x="0" y="0"/>
                <wp:positionH relativeFrom="column">
                  <wp:posOffset>51435</wp:posOffset>
                </wp:positionH>
                <wp:positionV relativeFrom="paragraph">
                  <wp:posOffset>2540</wp:posOffset>
                </wp:positionV>
                <wp:extent cx="1819275" cy="337820"/>
                <wp:effectExtent l="0" t="0" r="34925" b="17780"/>
                <wp:wrapTight wrapText="bothSides">
                  <wp:wrapPolygon edited="0">
                    <wp:start x="0" y="0"/>
                    <wp:lineTo x="0" y="21113"/>
                    <wp:lineTo x="21713" y="21113"/>
                    <wp:lineTo x="21713"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37820"/>
                        </a:xfrm>
                        <a:prstGeom prst="rect">
                          <a:avLst/>
                        </a:prstGeom>
                        <a:solidFill>
                          <a:srgbClr val="FFFFFF"/>
                        </a:solidFill>
                        <a:ln w="9525">
                          <a:solidFill>
                            <a:srgbClr val="FFFFFF"/>
                          </a:solidFill>
                          <a:miter lim="800000"/>
                          <a:headEnd/>
                          <a:tailEnd/>
                        </a:ln>
                      </wps:spPr>
                      <wps:txbx>
                        <w:txbxContent>
                          <w:p w14:paraId="6D047FD7" w14:textId="77777777" w:rsidR="00121074" w:rsidRPr="00482C5E" w:rsidRDefault="00121074" w:rsidP="00121074">
                            <w:pPr>
                              <w:pStyle w:val="Style1"/>
                              <w:jc w:val="left"/>
                              <w:rPr>
                                <w:rFonts w:ascii="SlateStd" w:hAnsi="SlateStd"/>
                                <w:color w:val="97C523"/>
                              </w:rPr>
                            </w:pPr>
                            <w:r w:rsidRPr="00482C5E">
                              <w:rPr>
                                <w:rFonts w:ascii="SlateStd" w:hAnsi="SlateStd"/>
                              </w:rPr>
                              <w:t>Lower bills. Livable planet.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A0322" id="_x0000_s1027" type="#_x0000_t202" style="position:absolute;margin-left:4.05pt;margin-top:.2pt;width:143.2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" strokecolor="white">
                <v:textbox inset="0,,0">
                  <w:txbxContent>
                    <w:p w14:paraId="6D047FD7" w14:textId="77777777" w:rsidR="00121074" w:rsidRPr="00482C5E" w:rsidRDefault="00121074" w:rsidP="00121074">
                      <w:pPr>
                        <w:pStyle w:val="Style1"/>
                        <w:jc w:val="left"/>
                        <w:rPr>
                          <w:rFonts w:ascii="SlateStd" w:hAnsi="SlateStd"/>
                          <w:color w:val="97C523"/>
                        </w:rPr>
                      </w:pPr>
                      <w:r w:rsidRPr="00482C5E">
                        <w:rPr>
                          <w:rFonts w:ascii="SlateStd" w:hAnsi="SlateStd"/>
                        </w:rPr>
                        <w:t>Lower bills. Livable planet.</w:t>
                      </w:r>
                    </w:p>
                  </w:txbxContent>
                </v:textbox>
                <w10:wrap type="tight"/>
              </v:shape>
            </w:pict>
          </mc:Fallback>
        </mc:AlternateContent>
      </w:r>
      <w:r>
        <w:rPr>
          <w:noProof/>
          <w:sz w:val="22"/>
        </w:rPr>
        <mc:AlternateContent>
          <mc:Choice Requires="wps">
            <w:drawing>
              <wp:anchor distT="0" distB="0" distL="114300" distR="114300" simplePos="0" relativeHeight="251660288" behindDoc="0" locked="0" layoutInCell="1" allowOverlap="1" wp14:anchorId="1A56F990" wp14:editId="15B0C2B6">
                <wp:simplePos x="0" y="0"/>
                <wp:positionH relativeFrom="column">
                  <wp:posOffset>-176530</wp:posOffset>
                </wp:positionH>
                <wp:positionV relativeFrom="paragraph">
                  <wp:posOffset>-682625</wp:posOffset>
                </wp:positionV>
                <wp:extent cx="1932305" cy="799465"/>
                <wp:effectExtent l="0" t="0" r="23495" b="13335"/>
                <wp:wrapTight wrapText="bothSides">
                  <wp:wrapPolygon edited="0">
                    <wp:start x="0" y="0"/>
                    <wp:lineTo x="0" y="21274"/>
                    <wp:lineTo x="21579" y="21274"/>
                    <wp:lineTo x="21579" y="0"/>
                    <wp:lineTo x="0" y="0"/>
                  </wp:wrapPolygon>
                </wp:wrapT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799465"/>
                        </a:xfrm>
                        <a:prstGeom prst="rect">
                          <a:avLst/>
                        </a:prstGeom>
                        <a:solidFill>
                          <a:srgbClr val="FFFFFF"/>
                        </a:solidFill>
                        <a:ln w="9525">
                          <a:solidFill>
                            <a:srgbClr val="FFFFFF"/>
                          </a:solidFill>
                          <a:miter lim="800000"/>
                          <a:headEnd/>
                          <a:tailEnd/>
                        </a:ln>
                      </wps:spPr>
                      <wps:txbx>
                        <w:txbxContent>
                          <w:p w14:paraId="5ACAA6C2" w14:textId="77777777" w:rsidR="00121074" w:rsidRDefault="00121074" w:rsidP="00121074">
                            <w:pPr>
                              <w:jc w:val="center"/>
                            </w:pPr>
                            <w:r>
                              <w:rPr>
                                <w:noProof/>
                              </w:rPr>
                              <w:drawing>
                                <wp:inline distT="0" distB="0" distL="0" distR="0" wp14:anchorId="76757403" wp14:editId="12F08649">
                                  <wp:extent cx="1736090" cy="695960"/>
                                  <wp:effectExtent l="25400" t="0" r="0" b="0"/>
                                  <wp:docPr id="2" name="Picture 2" descr="61_03_04_TURN_DigLetterhea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1_03_04_TURN_DigLetterhead_1"/>
                                          <pic:cNvPicPr>
                                            <a:picLocks noChangeAspect="1" noChangeArrowheads="1"/>
                                          </pic:cNvPicPr>
                                        </pic:nvPicPr>
                                        <pic:blipFill>
                                          <a:blip r:embed="rId10"/>
                                          <a:srcRect/>
                                          <a:stretch>
                                            <a:fillRect/>
                                          </a:stretch>
                                        </pic:blipFill>
                                        <pic:spPr bwMode="auto">
                                          <a:xfrm>
                                            <a:off x="0" y="0"/>
                                            <a:ext cx="1736090" cy="69596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6F990" id="Text Box 8" o:spid="_x0000_s1028" type="#_x0000_t202" style="position:absolute;margin-left:-13.9pt;margin-top:-53.75pt;width:152.15pt;height: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" strokecolor="white">
                <v:textbox>
                  <w:txbxContent>
                    <w:p w14:paraId="5ACAA6C2" w14:textId="77777777" w:rsidR="00121074" w:rsidRDefault="00121074" w:rsidP="00121074">
                      <w:pPr>
                        <w:jc w:val="center"/>
                      </w:pPr>
                      <w:r>
                        <w:rPr>
                          <w:noProof/>
                        </w:rPr>
                        <w:drawing>
                          <wp:inline distT="0" distB="0" distL="0" distR="0" wp14:anchorId="76757403" wp14:editId="12F08649">
                            <wp:extent cx="1736090" cy="695960"/>
                            <wp:effectExtent l="25400" t="0" r="0" b="0"/>
                            <wp:docPr id="2" name="Picture 2" descr="61_03_04_TURN_DigLetterhea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1_03_04_TURN_DigLetterhead_1"/>
                                    <pic:cNvPicPr>
                                      <a:picLocks noChangeAspect="1" noChangeArrowheads="1"/>
                                    </pic:cNvPicPr>
                                  </pic:nvPicPr>
                                  <pic:blipFill>
                                    <a:blip r:embed="rId11"/>
                                    <a:srcRect/>
                                    <a:stretch>
                                      <a:fillRect/>
                                    </a:stretch>
                                  </pic:blipFill>
                                  <pic:spPr bwMode="auto">
                                    <a:xfrm>
                                      <a:off x="0" y="0"/>
                                      <a:ext cx="1736090" cy="695960"/>
                                    </a:xfrm>
                                    <a:prstGeom prst="rect">
                                      <a:avLst/>
                                    </a:prstGeom>
                                    <a:noFill/>
                                    <a:ln w="9525">
                                      <a:noFill/>
                                      <a:miter lim="800000"/>
                                      <a:headEnd/>
                                      <a:tailEnd/>
                                    </a:ln>
                                  </pic:spPr>
                                </pic:pic>
                              </a:graphicData>
                            </a:graphic>
                          </wp:inline>
                        </w:drawing>
                      </w:r>
                    </w:p>
                  </w:txbxContent>
                </v:textbox>
                <w10:wrap type="tight"/>
              </v:shape>
            </w:pict>
          </mc:Fallback>
        </mc:AlternateContent>
      </w:r>
    </w:p>
    <w:p w14:paraId="63F2D094" w14:textId="77777777" w:rsidR="00121074" w:rsidRDefault="00121074" w:rsidP="00121074"/>
    <w:p w14:paraId="427FC5AD" w14:textId="77777777" w:rsidR="00121074" w:rsidRDefault="00121074" w:rsidP="00121074">
      <w:pPr>
        <w:jc w:val="both"/>
        <w:rPr>
          <w:rFonts w:ascii="Slate Std" w:hAnsi="Slate Std"/>
        </w:rPr>
      </w:pPr>
    </w:p>
    <w:p w14:paraId="3FF66604" w14:textId="138DD2F3" w:rsidR="00121074" w:rsidRDefault="003B3EED" w:rsidP="00121074">
      <w:pPr>
        <w:spacing w:after="0" w:line="240" w:lineRule="auto"/>
        <w:jc w:val="both"/>
        <w:rPr>
          <w:rFonts w:ascii="Slate Std" w:hAnsi="Slate Std"/>
        </w:rPr>
      </w:pPr>
      <w:r>
        <w:rPr>
          <w:rFonts w:ascii="Slate Std" w:hAnsi="Slate Std"/>
        </w:rPr>
        <w:t>April 1</w:t>
      </w:r>
      <w:r w:rsidR="002B0C76">
        <w:rPr>
          <w:rFonts w:ascii="Slate Std" w:hAnsi="Slate Std"/>
        </w:rPr>
        <w:t>5</w:t>
      </w:r>
      <w:r>
        <w:rPr>
          <w:rFonts w:ascii="Slate Std" w:hAnsi="Slate Std"/>
        </w:rPr>
        <w:t>, 2025</w:t>
      </w:r>
    </w:p>
    <w:p w14:paraId="208FD68D" w14:textId="77777777" w:rsidR="00121074" w:rsidRPr="00671B9A" w:rsidRDefault="00121074" w:rsidP="00121074">
      <w:pPr>
        <w:spacing w:after="0" w:line="240" w:lineRule="auto"/>
        <w:jc w:val="both"/>
        <w:rPr>
          <w:rFonts w:ascii="Slate Std" w:hAnsi="Slate Std"/>
        </w:rPr>
      </w:pPr>
    </w:p>
    <w:p w14:paraId="6AB46E7C" w14:textId="27E59FED" w:rsidR="00121074" w:rsidRPr="00671B9A" w:rsidRDefault="003B3EED" w:rsidP="003B3EED">
      <w:pPr>
        <w:spacing w:after="0" w:line="240" w:lineRule="auto"/>
        <w:rPr>
          <w:rFonts w:ascii="Slate Std" w:hAnsi="Slate Std"/>
        </w:rPr>
      </w:pPr>
      <w:r>
        <w:rPr>
          <w:rFonts w:ascii="Slate Std" w:hAnsi="Slate Std"/>
        </w:rPr>
        <w:t>Senator Josh Becker</w:t>
      </w:r>
    </w:p>
    <w:p w14:paraId="68A1FDE6" w14:textId="77777777" w:rsidR="003B3EED" w:rsidRDefault="003B3EED" w:rsidP="003B3EED">
      <w:pPr>
        <w:spacing w:after="0" w:line="240" w:lineRule="auto"/>
        <w:rPr>
          <w:rFonts w:ascii="Slate Std" w:hAnsi="Slate Std"/>
        </w:rPr>
      </w:pPr>
      <w:r w:rsidRPr="00671B9A">
        <w:rPr>
          <w:rFonts w:ascii="Slate Std" w:hAnsi="Slate Std"/>
        </w:rPr>
        <w:t xml:space="preserve">Chair, </w:t>
      </w:r>
      <w:r>
        <w:rPr>
          <w:rFonts w:ascii="Slate Std" w:hAnsi="Slate Std"/>
        </w:rPr>
        <w:t>Senate Committee on Energy, Utilities and Communications</w:t>
      </w:r>
    </w:p>
    <w:p w14:paraId="299648A2" w14:textId="77777777" w:rsidR="003B3EED" w:rsidRDefault="003B3EED" w:rsidP="003B3EED">
      <w:pPr>
        <w:spacing w:after="0" w:line="240" w:lineRule="auto"/>
        <w:rPr>
          <w:rFonts w:ascii="Slate Std" w:hAnsi="Slate Std"/>
        </w:rPr>
      </w:pPr>
      <w:r>
        <w:rPr>
          <w:rFonts w:ascii="Slate Std" w:hAnsi="Slate Std"/>
        </w:rPr>
        <w:t>1021 O Street, Room 3350</w:t>
      </w:r>
    </w:p>
    <w:p w14:paraId="056D2DCC" w14:textId="77777777" w:rsidR="003B3EED" w:rsidRPr="00671B9A" w:rsidRDefault="003B3EED" w:rsidP="003B3EED">
      <w:pPr>
        <w:spacing w:after="0" w:line="240" w:lineRule="auto"/>
        <w:rPr>
          <w:rFonts w:ascii="Slate Std" w:hAnsi="Slate Std"/>
        </w:rPr>
      </w:pPr>
      <w:r w:rsidRPr="00671B9A">
        <w:rPr>
          <w:rFonts w:ascii="Slate Std" w:hAnsi="Slate Std"/>
        </w:rPr>
        <w:t xml:space="preserve">Sacramento, CA </w:t>
      </w:r>
      <w:r>
        <w:rPr>
          <w:rFonts w:ascii="Slate Std" w:hAnsi="Slate Std"/>
        </w:rPr>
        <w:t>95814</w:t>
      </w:r>
    </w:p>
    <w:p w14:paraId="49B4B72C" w14:textId="77777777" w:rsidR="00121074" w:rsidRPr="00671B9A" w:rsidRDefault="00121074" w:rsidP="00121074">
      <w:pPr>
        <w:spacing w:after="0" w:line="240" w:lineRule="auto"/>
        <w:jc w:val="both"/>
        <w:rPr>
          <w:rFonts w:ascii="Slate Std" w:hAnsi="Slate Std"/>
        </w:rPr>
      </w:pPr>
    </w:p>
    <w:p w14:paraId="34E3E050" w14:textId="083A231E" w:rsidR="00121074" w:rsidRDefault="00121074" w:rsidP="00121074">
      <w:pPr>
        <w:spacing w:after="0" w:line="240" w:lineRule="auto"/>
        <w:jc w:val="both"/>
        <w:rPr>
          <w:rFonts w:ascii="Slate Std" w:hAnsi="Slate Std"/>
          <w:b/>
        </w:rPr>
      </w:pPr>
      <w:r w:rsidRPr="00671B9A">
        <w:rPr>
          <w:rFonts w:ascii="Slate Std" w:hAnsi="Slate Std"/>
          <w:b/>
        </w:rPr>
        <w:t>Re:</w:t>
      </w:r>
      <w:r w:rsidRPr="00671B9A">
        <w:rPr>
          <w:rFonts w:ascii="Slate Std" w:hAnsi="Slate Std"/>
        </w:rPr>
        <w:tab/>
      </w:r>
      <w:r w:rsidR="003B3EED">
        <w:rPr>
          <w:rFonts w:ascii="Slate Std" w:hAnsi="Slate Std"/>
          <w:b/>
        </w:rPr>
        <w:t>S</w:t>
      </w:r>
      <w:r>
        <w:rPr>
          <w:rFonts w:ascii="Slate Std" w:hAnsi="Slate Std"/>
          <w:b/>
        </w:rPr>
        <w:t xml:space="preserve">B </w:t>
      </w:r>
      <w:r w:rsidR="00A279F3">
        <w:rPr>
          <w:rFonts w:ascii="Slate Std" w:hAnsi="Slate Std"/>
          <w:b/>
        </w:rPr>
        <w:t>5</w:t>
      </w:r>
      <w:r w:rsidR="002B0C76">
        <w:rPr>
          <w:rFonts w:ascii="Slate Std" w:hAnsi="Slate Std"/>
          <w:b/>
        </w:rPr>
        <w:t>40</w:t>
      </w:r>
      <w:r>
        <w:rPr>
          <w:rFonts w:ascii="Slate Std" w:hAnsi="Slate Std"/>
          <w:b/>
        </w:rPr>
        <w:t xml:space="preserve"> (</w:t>
      </w:r>
      <w:r w:rsidR="002B0C76">
        <w:rPr>
          <w:rFonts w:ascii="Slate Std" w:hAnsi="Slate Std"/>
          <w:b/>
        </w:rPr>
        <w:t>Becker</w:t>
      </w:r>
      <w:r>
        <w:rPr>
          <w:rFonts w:ascii="Slate Std" w:hAnsi="Slate Std"/>
          <w:b/>
        </w:rPr>
        <w:t xml:space="preserve">) – </w:t>
      </w:r>
      <w:r w:rsidR="002B0C76">
        <w:rPr>
          <w:rFonts w:ascii="Slate Std" w:hAnsi="Slate Std"/>
          <w:b/>
        </w:rPr>
        <w:t>OPPOSE UNLESS AMENDED</w:t>
      </w:r>
      <w:r>
        <w:rPr>
          <w:rFonts w:ascii="Slate Std" w:hAnsi="Slate Std"/>
          <w:b/>
        </w:rPr>
        <w:t xml:space="preserve"> </w:t>
      </w:r>
    </w:p>
    <w:p w14:paraId="252121EC" w14:textId="438B5FFA" w:rsidR="00121074" w:rsidRPr="00671B9A" w:rsidRDefault="00121074" w:rsidP="00121074">
      <w:pPr>
        <w:spacing w:after="0" w:line="240" w:lineRule="auto"/>
        <w:jc w:val="both"/>
        <w:rPr>
          <w:rFonts w:ascii="Slate Std" w:hAnsi="Slate Std"/>
          <w:u w:val="single"/>
        </w:rPr>
      </w:pPr>
      <w:r>
        <w:rPr>
          <w:rFonts w:ascii="Slate Std" w:hAnsi="Slate Std"/>
          <w:b/>
        </w:rPr>
        <w:tab/>
      </w:r>
      <w:r w:rsidR="003B3EED">
        <w:rPr>
          <w:rFonts w:ascii="Slate Std" w:hAnsi="Slate Std"/>
          <w:b/>
        </w:rPr>
        <w:t xml:space="preserve">Senate Energy, </w:t>
      </w:r>
      <w:r>
        <w:rPr>
          <w:rFonts w:ascii="Slate Std" w:hAnsi="Slate Std"/>
          <w:b/>
        </w:rPr>
        <w:t xml:space="preserve">Utilities and </w:t>
      </w:r>
      <w:r w:rsidR="003B3EED">
        <w:rPr>
          <w:rFonts w:ascii="Slate Std" w:hAnsi="Slate Std"/>
          <w:b/>
        </w:rPr>
        <w:t>Communication</w:t>
      </w:r>
      <w:r>
        <w:rPr>
          <w:rFonts w:ascii="Slate Std" w:hAnsi="Slate Std"/>
          <w:b/>
        </w:rPr>
        <w:t xml:space="preserve"> Committee – April</w:t>
      </w:r>
      <w:r w:rsidR="003B3EED">
        <w:rPr>
          <w:rFonts w:ascii="Slate Std" w:hAnsi="Slate Std"/>
          <w:b/>
        </w:rPr>
        <w:t xml:space="preserve"> </w:t>
      </w:r>
      <w:r w:rsidR="002B0C76">
        <w:rPr>
          <w:rFonts w:ascii="Slate Std" w:hAnsi="Slate Std"/>
          <w:b/>
        </w:rPr>
        <w:t>21</w:t>
      </w:r>
      <w:r>
        <w:rPr>
          <w:rFonts w:ascii="Slate Std" w:hAnsi="Slate Std"/>
          <w:b/>
        </w:rPr>
        <w:t>, 2025</w:t>
      </w:r>
    </w:p>
    <w:p w14:paraId="031F31CE" w14:textId="77777777" w:rsidR="00121074" w:rsidRPr="00671B9A" w:rsidRDefault="00121074" w:rsidP="00121074">
      <w:pPr>
        <w:spacing w:after="0" w:line="240" w:lineRule="auto"/>
        <w:jc w:val="both"/>
        <w:rPr>
          <w:rFonts w:ascii="Slate Std" w:hAnsi="Slate Std"/>
          <w:u w:val="single"/>
        </w:rPr>
      </w:pPr>
    </w:p>
    <w:p w14:paraId="7BA50D56" w14:textId="78BB6C08" w:rsidR="00121074" w:rsidRPr="00671B9A" w:rsidRDefault="00121074" w:rsidP="00520E06">
      <w:pPr>
        <w:jc w:val="both"/>
        <w:rPr>
          <w:rFonts w:ascii="Slate Std" w:hAnsi="Slate Std"/>
        </w:rPr>
      </w:pPr>
      <w:r w:rsidRPr="00671B9A">
        <w:rPr>
          <w:rFonts w:ascii="Slate Std" w:hAnsi="Slate Std"/>
        </w:rPr>
        <w:t xml:space="preserve">Dear </w:t>
      </w:r>
      <w:r w:rsidR="003B3EED">
        <w:rPr>
          <w:rFonts w:ascii="Slate Std" w:hAnsi="Slate Std"/>
        </w:rPr>
        <w:t>Senator Becker,</w:t>
      </w:r>
    </w:p>
    <w:p w14:paraId="46BCA673" w14:textId="2EEF1BE4" w:rsidR="002B0C76" w:rsidRDefault="00121074" w:rsidP="00520E06">
      <w:pPr>
        <w:jc w:val="both"/>
        <w:rPr>
          <w:rFonts w:ascii="Slate Std" w:hAnsi="Slate Std"/>
          <w:bCs/>
        </w:rPr>
      </w:pPr>
      <w:r>
        <w:rPr>
          <w:rFonts w:ascii="Slate Std" w:hAnsi="Slate Std"/>
        </w:rPr>
        <w:t>The Utility Reform Network (TURN),</w:t>
      </w:r>
      <w:r w:rsidRPr="008001FD">
        <w:rPr>
          <w:rFonts w:ascii="Slate Std" w:hAnsi="Slate Std"/>
          <w:color w:val="000000"/>
        </w:rPr>
        <w:t xml:space="preserve"> </w:t>
      </w:r>
      <w:r w:rsidRPr="007030C0">
        <w:rPr>
          <w:rFonts w:ascii="Slate Std" w:hAnsi="Slate Std"/>
          <w:color w:val="000000"/>
        </w:rPr>
        <w:t>a consumer advocacy organization that has fought on behalf of California resident</w:t>
      </w:r>
      <w:r w:rsidR="003B7765">
        <w:rPr>
          <w:rFonts w:ascii="Slate Std" w:hAnsi="Slate Std"/>
          <w:color w:val="000000"/>
        </w:rPr>
        <w:t>ial utility customers</w:t>
      </w:r>
      <w:r w:rsidRPr="007030C0">
        <w:rPr>
          <w:rFonts w:ascii="Slate Std" w:hAnsi="Slate Std"/>
          <w:color w:val="000000"/>
        </w:rPr>
        <w:t xml:space="preserve"> for more than </w:t>
      </w:r>
      <w:r>
        <w:rPr>
          <w:rFonts w:ascii="Slate Std" w:hAnsi="Slate Std"/>
          <w:color w:val="000000"/>
        </w:rPr>
        <w:t>5</w:t>
      </w:r>
      <w:r w:rsidRPr="007030C0">
        <w:rPr>
          <w:rFonts w:ascii="Slate Std" w:hAnsi="Slate Std"/>
          <w:color w:val="000000"/>
        </w:rPr>
        <w:t>0 years</w:t>
      </w:r>
      <w:r>
        <w:rPr>
          <w:rFonts w:ascii="Slate Std" w:hAnsi="Slate Std"/>
          <w:color w:val="000000"/>
        </w:rPr>
        <w:t>,</w:t>
      </w:r>
      <w:r>
        <w:rPr>
          <w:rFonts w:ascii="Slate Std" w:hAnsi="Slate Std"/>
        </w:rPr>
        <w:t xml:space="preserve"> </w:t>
      </w:r>
      <w:r w:rsidR="002B0C76">
        <w:rPr>
          <w:rFonts w:ascii="Slate Std" w:hAnsi="Slate Std"/>
        </w:rPr>
        <w:t>opposes</w:t>
      </w:r>
      <w:r>
        <w:rPr>
          <w:rFonts w:ascii="Slate Std" w:hAnsi="Slate Std"/>
        </w:rPr>
        <w:t xml:space="preserve"> </w:t>
      </w:r>
      <w:r w:rsidR="003B3EED">
        <w:rPr>
          <w:rFonts w:ascii="Slate Std" w:hAnsi="Slate Std"/>
        </w:rPr>
        <w:t>S</w:t>
      </w:r>
      <w:r>
        <w:rPr>
          <w:rFonts w:ascii="Slate Std" w:hAnsi="Slate Std"/>
        </w:rPr>
        <w:t xml:space="preserve">B </w:t>
      </w:r>
      <w:r w:rsidR="00A279F3">
        <w:rPr>
          <w:rFonts w:ascii="Slate Std" w:hAnsi="Slate Std"/>
        </w:rPr>
        <w:t>5</w:t>
      </w:r>
      <w:r w:rsidR="002B0C76">
        <w:rPr>
          <w:rFonts w:ascii="Slate Std" w:hAnsi="Slate Std"/>
        </w:rPr>
        <w:t>40</w:t>
      </w:r>
      <w:r>
        <w:rPr>
          <w:rFonts w:ascii="Slate Std" w:hAnsi="Slate Std"/>
        </w:rPr>
        <w:t xml:space="preserve"> </w:t>
      </w:r>
      <w:r w:rsidRPr="00121074">
        <w:rPr>
          <w:rFonts w:ascii="Slate Std" w:hAnsi="Slate Std"/>
          <w:bCs/>
        </w:rPr>
        <w:t>(</w:t>
      </w:r>
      <w:r w:rsidR="002B0C76">
        <w:rPr>
          <w:rFonts w:ascii="Slate Std" w:hAnsi="Slate Std"/>
          <w:bCs/>
        </w:rPr>
        <w:t>Becker</w:t>
      </w:r>
      <w:r w:rsidRPr="00121074">
        <w:rPr>
          <w:rFonts w:ascii="Slate Std" w:hAnsi="Slate Std"/>
          <w:bCs/>
        </w:rPr>
        <w:t>)</w:t>
      </w:r>
      <w:r w:rsidR="002B0C76">
        <w:rPr>
          <w:rFonts w:ascii="Slate Std" w:hAnsi="Slate Std"/>
          <w:bCs/>
        </w:rPr>
        <w:t xml:space="preserve"> unless amended</w:t>
      </w:r>
      <w:r>
        <w:rPr>
          <w:rFonts w:ascii="Slate Std" w:hAnsi="Slate Std"/>
          <w:bCs/>
        </w:rPr>
        <w:t>.</w:t>
      </w:r>
      <w:r w:rsidRPr="00121074">
        <w:rPr>
          <w:rFonts w:ascii="Slate Std" w:hAnsi="Slate Std"/>
          <w:bCs/>
        </w:rPr>
        <w:t xml:space="preserve"> </w:t>
      </w:r>
      <w:r w:rsidR="00304D88">
        <w:rPr>
          <w:rFonts w:ascii="Slate Std" w:hAnsi="Slate Std"/>
          <w:bCs/>
        </w:rPr>
        <w:t xml:space="preserve">This bill would </w:t>
      </w:r>
      <w:r w:rsidR="00E973EB">
        <w:rPr>
          <w:rFonts w:ascii="Slate Std" w:hAnsi="Slate Std"/>
          <w:bCs/>
        </w:rPr>
        <w:t xml:space="preserve">authorize the California Independent System Operator (CAISO) to rely on voluntary wholesale energy markets governed by an independent </w:t>
      </w:r>
      <w:r w:rsidR="00981A59">
        <w:rPr>
          <w:rFonts w:ascii="Slate Std" w:hAnsi="Slate Std"/>
          <w:bCs/>
        </w:rPr>
        <w:t>R</w:t>
      </w:r>
      <w:r w:rsidR="00E973EB">
        <w:rPr>
          <w:rFonts w:ascii="Slate Std" w:hAnsi="Slate Std"/>
          <w:bCs/>
        </w:rPr>
        <w:t xml:space="preserve">egional </w:t>
      </w:r>
      <w:r w:rsidR="00981A59">
        <w:rPr>
          <w:rFonts w:ascii="Slate Std" w:hAnsi="Slate Std"/>
          <w:bCs/>
        </w:rPr>
        <w:t>O</w:t>
      </w:r>
      <w:r w:rsidR="00E973EB">
        <w:rPr>
          <w:rFonts w:ascii="Slate Std" w:hAnsi="Slate Std"/>
          <w:bCs/>
        </w:rPr>
        <w:t>rganization</w:t>
      </w:r>
      <w:r w:rsidR="00981A59">
        <w:rPr>
          <w:rFonts w:ascii="Slate Std" w:hAnsi="Slate Std"/>
          <w:bCs/>
        </w:rPr>
        <w:t xml:space="preserve"> (RO)</w:t>
      </w:r>
      <w:r w:rsidR="00E973EB">
        <w:rPr>
          <w:rFonts w:ascii="Slate Std" w:hAnsi="Slate Std"/>
          <w:bCs/>
        </w:rPr>
        <w:t xml:space="preserve">. This authorization would represent a significant shift in control over energy markets </w:t>
      </w:r>
      <w:r w:rsidR="00A73EE5">
        <w:rPr>
          <w:rFonts w:ascii="Slate Std" w:hAnsi="Slate Std"/>
          <w:bCs/>
        </w:rPr>
        <w:t xml:space="preserve">along with a broadening of the market actors participating in a single regional market that includes California utilities and </w:t>
      </w:r>
      <w:r w:rsidR="006005D6">
        <w:rPr>
          <w:rFonts w:ascii="Slate Std" w:hAnsi="Slate Std"/>
          <w:bCs/>
        </w:rPr>
        <w:t xml:space="preserve">other </w:t>
      </w:r>
      <w:r w:rsidR="00A73EE5">
        <w:rPr>
          <w:rFonts w:ascii="Slate Std" w:hAnsi="Slate Std"/>
          <w:bCs/>
        </w:rPr>
        <w:t xml:space="preserve">California load serving entities. </w:t>
      </w:r>
      <w:r w:rsidR="008E31BF">
        <w:rPr>
          <w:rFonts w:ascii="Slate Std" w:hAnsi="Slate Std"/>
          <w:bCs/>
        </w:rPr>
        <w:t>This shift may expose California customers to new risks that could prove difficult to mitigate.</w:t>
      </w:r>
    </w:p>
    <w:p w14:paraId="5531E00E" w14:textId="6EE8368D" w:rsidR="00B55DF7" w:rsidRDefault="00F03B04" w:rsidP="003077A8">
      <w:pPr>
        <w:jc w:val="both"/>
        <w:rPr>
          <w:rFonts w:ascii="Slate Std" w:hAnsi="Slate Std"/>
          <w:bCs/>
        </w:rPr>
      </w:pPr>
      <w:r>
        <w:rPr>
          <w:rFonts w:ascii="Slate Std" w:hAnsi="Slate Std"/>
          <w:bCs/>
        </w:rPr>
        <w:t xml:space="preserve">TURN was strongly opposed to legislation in prior years that would have transformed CAISO into a Regional Transmission Organization by eliminating the Governor-appointed, Senate-confirmed board and merging the individual balancing authority areas associated with all the participating transmission owners. </w:t>
      </w:r>
      <w:r w:rsidR="006005D6">
        <w:rPr>
          <w:rFonts w:ascii="Slate Std" w:hAnsi="Slate Std"/>
          <w:bCs/>
        </w:rPr>
        <w:t>By preserving CAISO’s governance structure</w:t>
      </w:r>
      <w:r w:rsidR="003077A8">
        <w:rPr>
          <w:rFonts w:ascii="Slate Std" w:hAnsi="Slate Std"/>
          <w:bCs/>
        </w:rPr>
        <w:t xml:space="preserve"> and its role as a balancing authority</w:t>
      </w:r>
      <w:r w:rsidR="006005D6">
        <w:rPr>
          <w:rFonts w:ascii="Slate Std" w:hAnsi="Slate Std"/>
          <w:bCs/>
        </w:rPr>
        <w:t xml:space="preserve">, </w:t>
      </w:r>
      <w:r w:rsidR="008843C7">
        <w:rPr>
          <w:rFonts w:ascii="Slate Std" w:hAnsi="Slate Std"/>
          <w:bCs/>
        </w:rPr>
        <w:t>SB 540 represents a different, and more c</w:t>
      </w:r>
      <w:r w:rsidR="00C64168">
        <w:rPr>
          <w:rFonts w:ascii="Slate Std" w:hAnsi="Slate Std"/>
          <w:bCs/>
        </w:rPr>
        <w:t xml:space="preserve">autious, approach to the development of regional energy markets. </w:t>
      </w:r>
      <w:r w:rsidR="00087169">
        <w:rPr>
          <w:rFonts w:ascii="Slate Std" w:hAnsi="Slate Std"/>
          <w:bCs/>
        </w:rPr>
        <w:t>Despite</w:t>
      </w:r>
      <w:r w:rsidR="00A62298">
        <w:rPr>
          <w:rFonts w:ascii="Slate Std" w:hAnsi="Slate Std"/>
          <w:bCs/>
        </w:rPr>
        <w:t xml:space="preserve"> the incremental nature of this new approach, TURN remains concerned that </w:t>
      </w:r>
      <w:r w:rsidR="00450615">
        <w:rPr>
          <w:rFonts w:ascii="Slate Std" w:hAnsi="Slate Std"/>
          <w:bCs/>
        </w:rPr>
        <w:t xml:space="preserve">SB 540 currently contains insufficient safeguards to protect California consumers </w:t>
      </w:r>
      <w:r w:rsidR="00EE397B">
        <w:rPr>
          <w:rFonts w:ascii="Slate Std" w:hAnsi="Slate Std"/>
          <w:bCs/>
        </w:rPr>
        <w:t>if</w:t>
      </w:r>
      <w:r w:rsidR="00450615">
        <w:rPr>
          <w:rFonts w:ascii="Slate Std" w:hAnsi="Slate Std"/>
          <w:bCs/>
        </w:rPr>
        <w:t xml:space="preserve"> the </w:t>
      </w:r>
      <w:r w:rsidR="00191278">
        <w:rPr>
          <w:rFonts w:ascii="Slate Std" w:hAnsi="Slate Std"/>
          <w:bCs/>
        </w:rPr>
        <w:t>RO</w:t>
      </w:r>
      <w:r w:rsidR="00450615">
        <w:rPr>
          <w:rFonts w:ascii="Slate Std" w:hAnsi="Slate Std"/>
          <w:bCs/>
        </w:rPr>
        <w:t xml:space="preserve"> adopts market rules that frustrate key state environmental, resource planning, reliability or other public interest policies. </w:t>
      </w:r>
      <w:r w:rsidR="00EE397B">
        <w:rPr>
          <w:rFonts w:ascii="Slate Std" w:hAnsi="Slate Std"/>
          <w:bCs/>
        </w:rPr>
        <w:t>These adverse</w:t>
      </w:r>
      <w:r w:rsidR="00450615">
        <w:rPr>
          <w:rFonts w:ascii="Slate Std" w:hAnsi="Slate Std"/>
          <w:bCs/>
        </w:rPr>
        <w:t xml:space="preserve"> </w:t>
      </w:r>
      <w:r w:rsidR="00541B3F">
        <w:rPr>
          <w:rFonts w:ascii="Slate Std" w:hAnsi="Slate Std"/>
          <w:bCs/>
        </w:rPr>
        <w:t>outcome</w:t>
      </w:r>
      <w:r w:rsidR="003F31DE">
        <w:rPr>
          <w:rFonts w:ascii="Slate Std" w:hAnsi="Slate Std"/>
          <w:bCs/>
        </w:rPr>
        <w:t>s</w:t>
      </w:r>
      <w:r w:rsidR="00541B3F">
        <w:rPr>
          <w:rFonts w:ascii="Slate Std" w:hAnsi="Slate Std"/>
          <w:bCs/>
        </w:rPr>
        <w:t xml:space="preserve"> ha</w:t>
      </w:r>
      <w:r w:rsidR="003F31DE">
        <w:rPr>
          <w:rFonts w:ascii="Slate Std" w:hAnsi="Slate Std"/>
          <w:bCs/>
        </w:rPr>
        <w:t>ve</w:t>
      </w:r>
      <w:r w:rsidR="00541B3F">
        <w:rPr>
          <w:rFonts w:ascii="Slate Std" w:hAnsi="Slate Std"/>
          <w:bCs/>
        </w:rPr>
        <w:t xml:space="preserve"> become more likely given recent announcements by the Trump administration indicating an intention to prioritize coal-fired </w:t>
      </w:r>
      <w:r w:rsidR="00541B3F">
        <w:rPr>
          <w:rFonts w:ascii="Slate Std" w:hAnsi="Slate Std"/>
          <w:bCs/>
        </w:rPr>
        <w:lastRenderedPageBreak/>
        <w:t>generatio</w:t>
      </w:r>
      <w:r w:rsidR="003F31DE">
        <w:rPr>
          <w:rFonts w:ascii="Slate Std" w:hAnsi="Slate Std"/>
          <w:bCs/>
        </w:rPr>
        <w:t>n</w:t>
      </w:r>
      <w:r w:rsidR="003F31DE">
        <w:rPr>
          <w:rStyle w:val="FootnoteReference"/>
          <w:rFonts w:ascii="Slate Std" w:hAnsi="Slate Std"/>
          <w:bCs/>
        </w:rPr>
        <w:footnoteReference w:id="1"/>
      </w:r>
      <w:r w:rsidR="003F31DE">
        <w:rPr>
          <w:rFonts w:ascii="Slate Std" w:hAnsi="Slate Std"/>
          <w:bCs/>
        </w:rPr>
        <w:t xml:space="preserve">, </w:t>
      </w:r>
      <w:r w:rsidR="00541B3F">
        <w:rPr>
          <w:rFonts w:ascii="Slate Std" w:hAnsi="Slate Std"/>
          <w:bCs/>
        </w:rPr>
        <w:t>devalue production from clean energy resources</w:t>
      </w:r>
      <w:r w:rsidR="003F31DE">
        <w:rPr>
          <w:rFonts w:ascii="Slate Std" w:hAnsi="Slate Std"/>
          <w:bCs/>
        </w:rPr>
        <w:t>, and challenge the legitimacy of state climate policies.</w:t>
      </w:r>
      <w:r w:rsidR="003F31DE">
        <w:rPr>
          <w:rStyle w:val="FootnoteReference"/>
          <w:rFonts w:ascii="Slate Std" w:hAnsi="Slate Std"/>
          <w:bCs/>
        </w:rPr>
        <w:footnoteReference w:id="2"/>
      </w:r>
      <w:r w:rsidR="003F31DE">
        <w:rPr>
          <w:rFonts w:ascii="Slate Std" w:hAnsi="Slate Std"/>
          <w:bCs/>
        </w:rPr>
        <w:t xml:space="preserve"> </w:t>
      </w:r>
    </w:p>
    <w:p w14:paraId="44E833E7" w14:textId="5192F36B" w:rsidR="009D215C" w:rsidRDefault="00627EC7" w:rsidP="003077A8">
      <w:pPr>
        <w:jc w:val="both"/>
        <w:rPr>
          <w:rFonts w:ascii="Slate Std" w:hAnsi="Slate Std"/>
          <w:bCs/>
        </w:rPr>
      </w:pPr>
      <w:r>
        <w:rPr>
          <w:rFonts w:ascii="Slate Std" w:hAnsi="Slate Std"/>
          <w:bCs/>
        </w:rPr>
        <w:t xml:space="preserve">TURN has been working with the author </w:t>
      </w:r>
      <w:r w:rsidR="003077A8">
        <w:rPr>
          <w:rFonts w:ascii="Slate Std" w:hAnsi="Slate Std"/>
          <w:bCs/>
        </w:rPr>
        <w:t xml:space="preserve">of SB 540 </w:t>
      </w:r>
      <w:r>
        <w:rPr>
          <w:rFonts w:ascii="Slate Std" w:hAnsi="Slate Std"/>
          <w:bCs/>
        </w:rPr>
        <w:t>on various concerns relating to the RO and hopes that they can be addressed through amendments. Specifically</w:t>
      </w:r>
      <w:r w:rsidR="009D215C">
        <w:rPr>
          <w:rFonts w:ascii="Slate Std" w:hAnsi="Slate Std"/>
          <w:bCs/>
        </w:rPr>
        <w:t xml:space="preserve">, </w:t>
      </w:r>
      <w:r w:rsidR="00EE397B">
        <w:rPr>
          <w:rFonts w:ascii="Slate Std" w:hAnsi="Slate Std"/>
          <w:bCs/>
        </w:rPr>
        <w:t>TURN recommends amendments to accomplish the following:</w:t>
      </w:r>
    </w:p>
    <w:p w14:paraId="73B7762C" w14:textId="668A7F11" w:rsidR="00EE397B" w:rsidRDefault="00EE397B" w:rsidP="00EE397B">
      <w:pPr>
        <w:pStyle w:val="ListParagraph"/>
        <w:numPr>
          <w:ilvl w:val="0"/>
          <w:numId w:val="3"/>
        </w:numPr>
        <w:jc w:val="both"/>
        <w:rPr>
          <w:rFonts w:ascii="Slate Std" w:hAnsi="Slate Std"/>
          <w:bCs/>
        </w:rPr>
      </w:pPr>
      <w:r>
        <w:rPr>
          <w:rFonts w:ascii="Slate Std" w:hAnsi="Slate Std"/>
          <w:bCs/>
        </w:rPr>
        <w:t xml:space="preserve">Clarify that the </w:t>
      </w:r>
      <w:r w:rsidR="00981A59">
        <w:rPr>
          <w:rFonts w:ascii="Slate Std" w:hAnsi="Slate Std"/>
          <w:bCs/>
        </w:rPr>
        <w:t>RO’s</w:t>
      </w:r>
      <w:r>
        <w:rPr>
          <w:rFonts w:ascii="Slate Std" w:hAnsi="Slate Std"/>
          <w:bCs/>
        </w:rPr>
        <w:t xml:space="preserve"> tariffs must permit California to withdraw its utilities </w:t>
      </w:r>
      <w:r w:rsidR="003B335E">
        <w:rPr>
          <w:rFonts w:ascii="Slate Std" w:hAnsi="Slate Std"/>
          <w:bCs/>
        </w:rPr>
        <w:t xml:space="preserve">from the regional market </w:t>
      </w:r>
      <w:r>
        <w:rPr>
          <w:rFonts w:ascii="Slate Std" w:hAnsi="Slate Std"/>
          <w:bCs/>
        </w:rPr>
        <w:t xml:space="preserve">without penalties or any need for </w:t>
      </w:r>
      <w:r w:rsidR="003077A8">
        <w:rPr>
          <w:rFonts w:ascii="Slate Std" w:hAnsi="Slate Std"/>
          <w:bCs/>
        </w:rPr>
        <w:t xml:space="preserve">additional </w:t>
      </w:r>
      <w:r>
        <w:rPr>
          <w:rFonts w:ascii="Slate Std" w:hAnsi="Slate Std"/>
          <w:bCs/>
        </w:rPr>
        <w:t>approval</w:t>
      </w:r>
      <w:r w:rsidR="00B44FBB">
        <w:rPr>
          <w:rFonts w:ascii="Slate Std" w:hAnsi="Slate Std"/>
          <w:bCs/>
        </w:rPr>
        <w:t>s</w:t>
      </w:r>
      <w:r>
        <w:rPr>
          <w:rFonts w:ascii="Slate Std" w:hAnsi="Slate Std"/>
          <w:bCs/>
        </w:rPr>
        <w:t xml:space="preserve"> by the Federal Energy Regulatory Commission (FERC). </w:t>
      </w:r>
      <w:r w:rsidR="003B335E">
        <w:rPr>
          <w:rFonts w:ascii="Slate Std" w:hAnsi="Slate Std"/>
          <w:bCs/>
        </w:rPr>
        <w:t xml:space="preserve">This </w:t>
      </w:r>
      <w:r w:rsidR="003077A8">
        <w:rPr>
          <w:rFonts w:ascii="Slate Std" w:hAnsi="Slate Std"/>
          <w:bCs/>
        </w:rPr>
        <w:t xml:space="preserve">element of the RO </w:t>
      </w:r>
      <w:r w:rsidR="003B335E">
        <w:rPr>
          <w:rFonts w:ascii="Slate Std" w:hAnsi="Slate Std"/>
          <w:bCs/>
        </w:rPr>
        <w:t>tariff must be approved by FERC prior to CAISO agreeing to cede its</w:t>
      </w:r>
      <w:r w:rsidR="003A3785">
        <w:rPr>
          <w:rFonts w:ascii="Slate Std" w:hAnsi="Slate Std"/>
          <w:bCs/>
        </w:rPr>
        <w:t xml:space="preserve"> governance</w:t>
      </w:r>
      <w:r w:rsidR="003B335E">
        <w:rPr>
          <w:rFonts w:ascii="Slate Std" w:hAnsi="Slate Std"/>
          <w:bCs/>
        </w:rPr>
        <w:t xml:space="preserve"> of these markets.</w:t>
      </w:r>
      <w:r w:rsidR="006E79EB">
        <w:rPr>
          <w:rFonts w:ascii="Slate Std" w:hAnsi="Slate Std"/>
          <w:bCs/>
        </w:rPr>
        <w:t xml:space="preserve"> The Legislature may wish to consider a requirement that a joint concurrent resolution be </w:t>
      </w:r>
      <w:r w:rsidR="00B44FBB">
        <w:rPr>
          <w:rFonts w:ascii="Slate Std" w:hAnsi="Slate Std"/>
          <w:bCs/>
        </w:rPr>
        <w:t>enacted</w:t>
      </w:r>
      <w:r w:rsidR="003077A8">
        <w:rPr>
          <w:rFonts w:ascii="Slate Std" w:hAnsi="Slate Std"/>
          <w:bCs/>
        </w:rPr>
        <w:t xml:space="preserve"> </w:t>
      </w:r>
      <w:r w:rsidR="006E79EB">
        <w:rPr>
          <w:rFonts w:ascii="Slate Std" w:hAnsi="Slate Std"/>
          <w:bCs/>
        </w:rPr>
        <w:t>after FERC approves the relevant tariff but prior to the transition.</w:t>
      </w:r>
    </w:p>
    <w:p w14:paraId="712E607E" w14:textId="77777777" w:rsidR="00C615F8" w:rsidRDefault="00C615F8" w:rsidP="00C615F8">
      <w:pPr>
        <w:pStyle w:val="ListParagraph"/>
        <w:jc w:val="both"/>
        <w:rPr>
          <w:rFonts w:ascii="Slate Std" w:hAnsi="Slate Std"/>
          <w:bCs/>
        </w:rPr>
      </w:pPr>
    </w:p>
    <w:p w14:paraId="032967C2" w14:textId="51216DD9" w:rsidR="00C615F8" w:rsidRPr="00C615F8" w:rsidRDefault="00981A59" w:rsidP="00C615F8">
      <w:pPr>
        <w:pStyle w:val="ListParagraph"/>
        <w:numPr>
          <w:ilvl w:val="0"/>
          <w:numId w:val="3"/>
        </w:numPr>
        <w:jc w:val="both"/>
        <w:rPr>
          <w:rFonts w:ascii="Slate Std" w:hAnsi="Slate Std"/>
          <w:bCs/>
        </w:rPr>
      </w:pPr>
      <w:r>
        <w:rPr>
          <w:rFonts w:ascii="Slate Std" w:hAnsi="Slate Std"/>
          <w:bCs/>
        </w:rPr>
        <w:t xml:space="preserve">The RO must be prohibited from establishing any requirements relating to resource adequacy, reserve margins or reliability. </w:t>
      </w:r>
      <w:r w:rsidR="000E76C0">
        <w:rPr>
          <w:rFonts w:ascii="Slate Std" w:hAnsi="Slate Std"/>
          <w:bCs/>
        </w:rPr>
        <w:t xml:space="preserve">Further the RO must not be allowed to rely on a centralized capacity market or separate energy markets for dispatchable, firm and intermittent resources. </w:t>
      </w:r>
      <w:r>
        <w:rPr>
          <w:rFonts w:ascii="Slate Std" w:hAnsi="Slate Std"/>
          <w:bCs/>
        </w:rPr>
        <w:t>The</w:t>
      </w:r>
      <w:r w:rsidR="000E76C0">
        <w:rPr>
          <w:rFonts w:ascii="Slate Std" w:hAnsi="Slate Std"/>
          <w:bCs/>
        </w:rPr>
        <w:t>se prohibitions are n</w:t>
      </w:r>
      <w:r w:rsidR="009B38E2">
        <w:rPr>
          <w:rFonts w:ascii="Slate Std" w:hAnsi="Slate Std"/>
          <w:bCs/>
        </w:rPr>
        <w:t>ecessary</w:t>
      </w:r>
      <w:r w:rsidR="000E76C0">
        <w:rPr>
          <w:rFonts w:ascii="Slate Std" w:hAnsi="Slate Std"/>
          <w:bCs/>
        </w:rPr>
        <w:t xml:space="preserve"> because the</w:t>
      </w:r>
      <w:r>
        <w:rPr>
          <w:rFonts w:ascii="Slate Std" w:hAnsi="Slate Std"/>
          <w:bCs/>
        </w:rPr>
        <w:t xml:space="preserve"> Trump administration has indicated </w:t>
      </w:r>
      <w:r w:rsidR="002C5954">
        <w:rPr>
          <w:rFonts w:ascii="Slate Std" w:hAnsi="Slate Std"/>
          <w:bCs/>
        </w:rPr>
        <w:t>its</w:t>
      </w:r>
      <w:r>
        <w:rPr>
          <w:rFonts w:ascii="Slate Std" w:hAnsi="Slate Std"/>
          <w:bCs/>
        </w:rPr>
        <w:t xml:space="preserve"> intent to intervene in wholesale markets for purposes of favor</w:t>
      </w:r>
      <w:r w:rsidR="00453A21">
        <w:rPr>
          <w:rFonts w:ascii="Slate Std" w:hAnsi="Slate Std"/>
          <w:bCs/>
        </w:rPr>
        <w:t>ing</w:t>
      </w:r>
      <w:r>
        <w:rPr>
          <w:rFonts w:ascii="Slate Std" w:hAnsi="Slate Std"/>
          <w:bCs/>
        </w:rPr>
        <w:t xml:space="preserve"> coal</w:t>
      </w:r>
      <w:r w:rsidR="00453A21">
        <w:rPr>
          <w:rFonts w:ascii="Slate Std" w:hAnsi="Slate Std"/>
          <w:bCs/>
        </w:rPr>
        <w:t xml:space="preserve"> and gas</w:t>
      </w:r>
      <w:r>
        <w:rPr>
          <w:rFonts w:ascii="Slate Std" w:hAnsi="Slate Std"/>
          <w:bCs/>
        </w:rPr>
        <w:t xml:space="preserve"> generation and marginaliz</w:t>
      </w:r>
      <w:r w:rsidR="00453A21">
        <w:rPr>
          <w:rFonts w:ascii="Slate Std" w:hAnsi="Slate Std"/>
          <w:bCs/>
        </w:rPr>
        <w:t>ing</w:t>
      </w:r>
      <w:r>
        <w:rPr>
          <w:rFonts w:ascii="Slate Std" w:hAnsi="Slate Std"/>
          <w:bCs/>
        </w:rPr>
        <w:t xml:space="preserve"> renewable energy resources.</w:t>
      </w:r>
      <w:r w:rsidR="002C5954">
        <w:rPr>
          <w:rFonts w:ascii="Slate Std" w:hAnsi="Slate Std"/>
          <w:bCs/>
        </w:rPr>
        <w:t xml:space="preserve"> </w:t>
      </w:r>
      <w:r w:rsidR="00C34ACC">
        <w:rPr>
          <w:rFonts w:ascii="Slate Std" w:hAnsi="Slate Std"/>
          <w:bCs/>
        </w:rPr>
        <w:t>Successful f</w:t>
      </w:r>
      <w:r w:rsidR="009F00E4">
        <w:rPr>
          <w:rFonts w:ascii="Slate Std" w:hAnsi="Slate Std"/>
          <w:bCs/>
        </w:rPr>
        <w:t>ederal</w:t>
      </w:r>
      <w:r w:rsidR="002C5954">
        <w:rPr>
          <w:rFonts w:ascii="Slate Std" w:hAnsi="Slate Std"/>
          <w:bCs/>
        </w:rPr>
        <w:t xml:space="preserve"> intervention would be </w:t>
      </w:r>
      <w:r w:rsidR="00C34ACC">
        <w:rPr>
          <w:rFonts w:ascii="Slate Std" w:hAnsi="Slate Std"/>
          <w:bCs/>
        </w:rPr>
        <w:t>far more likely</w:t>
      </w:r>
      <w:r w:rsidR="002C5954">
        <w:rPr>
          <w:rFonts w:ascii="Slate Std" w:hAnsi="Slate Std"/>
          <w:bCs/>
        </w:rPr>
        <w:t xml:space="preserve"> if the RO managed requirements, policies or markets that go beyond the proposed Extended Day Ahead Market (EDAM).  </w:t>
      </w:r>
    </w:p>
    <w:p w14:paraId="247DA4D6" w14:textId="77777777" w:rsidR="00C615F8" w:rsidRPr="00C615F8" w:rsidRDefault="00C615F8" w:rsidP="00C615F8">
      <w:pPr>
        <w:pStyle w:val="ListParagraph"/>
        <w:jc w:val="both"/>
        <w:rPr>
          <w:rFonts w:ascii="Slate Std" w:hAnsi="Slate Std"/>
          <w:bCs/>
        </w:rPr>
      </w:pPr>
    </w:p>
    <w:p w14:paraId="1C69654F" w14:textId="09F0D8C8" w:rsidR="004B5B59" w:rsidRDefault="004B5B59" w:rsidP="00EE397B">
      <w:pPr>
        <w:pStyle w:val="ListParagraph"/>
        <w:numPr>
          <w:ilvl w:val="0"/>
          <w:numId w:val="3"/>
        </w:numPr>
        <w:jc w:val="both"/>
        <w:rPr>
          <w:rFonts w:ascii="Slate Std" w:hAnsi="Slate Std"/>
          <w:bCs/>
        </w:rPr>
      </w:pPr>
      <w:r>
        <w:rPr>
          <w:rFonts w:ascii="Slate Std" w:hAnsi="Slate Std"/>
          <w:bCs/>
        </w:rPr>
        <w:t xml:space="preserve">Authorize the California Public Utilities Commission to direct the </w:t>
      </w:r>
      <w:proofErr w:type="gramStart"/>
      <w:r>
        <w:rPr>
          <w:rFonts w:ascii="Slate Std" w:hAnsi="Slate Std"/>
          <w:bCs/>
        </w:rPr>
        <w:t>Investor Owned</w:t>
      </w:r>
      <w:proofErr w:type="gramEnd"/>
      <w:r>
        <w:rPr>
          <w:rFonts w:ascii="Slate Std" w:hAnsi="Slate Std"/>
          <w:bCs/>
        </w:rPr>
        <w:t xml:space="preserve"> Utilities (IOUs) to withdraw from the </w:t>
      </w:r>
      <w:r w:rsidR="00B546D6">
        <w:rPr>
          <w:rFonts w:ascii="Slate Std" w:hAnsi="Slate Std"/>
          <w:bCs/>
        </w:rPr>
        <w:t xml:space="preserve">RO if there are any violations of the obligations laid out in SB 540 or changes to RO-governed markets </w:t>
      </w:r>
      <w:r w:rsidR="007F4948">
        <w:rPr>
          <w:rFonts w:ascii="Slate Std" w:hAnsi="Slate Std"/>
          <w:bCs/>
        </w:rPr>
        <w:t>that</w:t>
      </w:r>
      <w:r w:rsidR="00B546D6">
        <w:rPr>
          <w:rFonts w:ascii="Slate Std" w:hAnsi="Slate Std"/>
          <w:bCs/>
        </w:rPr>
        <w:t xml:space="preserve"> </w:t>
      </w:r>
      <w:r w:rsidR="0073196F">
        <w:rPr>
          <w:rFonts w:ascii="Slate Std" w:hAnsi="Slate Std"/>
          <w:bCs/>
        </w:rPr>
        <w:t>harm California consumers or frustrate California resource planning, procurement, environmental, reliability or other public interest policies.</w:t>
      </w:r>
    </w:p>
    <w:p w14:paraId="51A70BDF" w14:textId="77777777" w:rsidR="0073196F" w:rsidRPr="0073196F" w:rsidRDefault="0073196F" w:rsidP="0073196F">
      <w:pPr>
        <w:pStyle w:val="ListParagraph"/>
        <w:rPr>
          <w:rFonts w:ascii="Slate Std" w:hAnsi="Slate Std"/>
          <w:bCs/>
        </w:rPr>
      </w:pPr>
    </w:p>
    <w:p w14:paraId="4EDF671F" w14:textId="68613D16" w:rsidR="003B04BB" w:rsidRDefault="0073196F" w:rsidP="00EE397B">
      <w:pPr>
        <w:pStyle w:val="ListParagraph"/>
        <w:numPr>
          <w:ilvl w:val="0"/>
          <w:numId w:val="3"/>
        </w:numPr>
        <w:jc w:val="both"/>
        <w:rPr>
          <w:rFonts w:ascii="Slate Std" w:hAnsi="Slate Std"/>
          <w:bCs/>
        </w:rPr>
      </w:pPr>
      <w:r>
        <w:rPr>
          <w:rFonts w:ascii="Slate Std" w:hAnsi="Slate Std"/>
          <w:bCs/>
        </w:rPr>
        <w:t xml:space="preserve">Require California IOUs and Publicly Owned Utilities (POUs) to withdraw from the RO if legal challenges result in a court ruling that any </w:t>
      </w:r>
      <w:r w:rsidR="003B04BB">
        <w:rPr>
          <w:rFonts w:ascii="Slate Std" w:hAnsi="Slate Std"/>
          <w:bCs/>
        </w:rPr>
        <w:t>California</w:t>
      </w:r>
      <w:r>
        <w:rPr>
          <w:rFonts w:ascii="Slate Std" w:hAnsi="Slate Std"/>
          <w:bCs/>
        </w:rPr>
        <w:t xml:space="preserve"> resource planning policy (including the Renewables Portfolio Standard</w:t>
      </w:r>
      <w:r w:rsidR="00EC6094">
        <w:rPr>
          <w:rFonts w:ascii="Slate Std" w:hAnsi="Slate Std"/>
          <w:bCs/>
        </w:rPr>
        <w:t xml:space="preserve"> </w:t>
      </w:r>
      <w:r w:rsidR="00FC5348">
        <w:rPr>
          <w:rFonts w:ascii="Slate Std" w:hAnsi="Slate Std"/>
          <w:bCs/>
        </w:rPr>
        <w:t>(RPS)</w:t>
      </w:r>
      <w:r>
        <w:rPr>
          <w:rFonts w:ascii="Slate Std" w:hAnsi="Slate Std"/>
          <w:bCs/>
        </w:rPr>
        <w:t>) impermissibility discriminates against out-of-state resources</w:t>
      </w:r>
      <w:r w:rsidR="003B04BB">
        <w:rPr>
          <w:rFonts w:ascii="Slate Std" w:hAnsi="Slate Std"/>
          <w:bCs/>
        </w:rPr>
        <w:t xml:space="preserve">. This protection is necessary </w:t>
      </w:r>
      <w:proofErr w:type="gramStart"/>
      <w:r w:rsidR="003B04BB">
        <w:rPr>
          <w:rFonts w:ascii="Slate Std" w:hAnsi="Slate Std"/>
          <w:bCs/>
        </w:rPr>
        <w:t>in light of</w:t>
      </w:r>
      <w:proofErr w:type="gramEnd"/>
      <w:r w:rsidR="003B04BB">
        <w:rPr>
          <w:rFonts w:ascii="Slate Std" w:hAnsi="Slate Std"/>
          <w:bCs/>
        </w:rPr>
        <w:t xml:space="preserve"> the increased risk that participation in the RO, combined with strict delivery requirements to the CAISO balancing authority area, could embolden various market participants to pursue legal challenges to California’s resource planning and RPS rules.</w:t>
      </w:r>
    </w:p>
    <w:p w14:paraId="6B83DF29" w14:textId="77777777" w:rsidR="003B04BB" w:rsidRPr="003B04BB" w:rsidRDefault="003B04BB" w:rsidP="003B04BB">
      <w:pPr>
        <w:pStyle w:val="ListParagraph"/>
        <w:rPr>
          <w:rFonts w:ascii="Slate Std" w:hAnsi="Slate Std"/>
          <w:bCs/>
        </w:rPr>
      </w:pPr>
    </w:p>
    <w:p w14:paraId="0E0AA195" w14:textId="185A77EE" w:rsidR="0073196F" w:rsidRDefault="003B04BB" w:rsidP="00EE397B">
      <w:pPr>
        <w:pStyle w:val="ListParagraph"/>
        <w:numPr>
          <w:ilvl w:val="0"/>
          <w:numId w:val="3"/>
        </w:numPr>
        <w:jc w:val="both"/>
        <w:rPr>
          <w:rFonts w:ascii="Slate Std" w:hAnsi="Slate Std"/>
          <w:bCs/>
        </w:rPr>
      </w:pPr>
      <w:r>
        <w:rPr>
          <w:rFonts w:ascii="Slate Std" w:hAnsi="Slate Std"/>
          <w:bCs/>
        </w:rPr>
        <w:t xml:space="preserve">Require California IOUs and Publicly Owned Utilities (POUs) to withdraw from the RO if </w:t>
      </w:r>
      <w:r w:rsidR="0073196F">
        <w:rPr>
          <w:rFonts w:ascii="Slate Std" w:hAnsi="Slate Std"/>
          <w:bCs/>
        </w:rPr>
        <w:t xml:space="preserve">actions taken by the federal government force California consumers to subsidize out-of-state fossil generating resources under Section 202 of the Federal Power Act. President Trump has already indicated an intention to use Section 202 </w:t>
      </w:r>
      <w:r w:rsidR="00A30038">
        <w:rPr>
          <w:rFonts w:ascii="Slate Std" w:hAnsi="Slate Std"/>
          <w:bCs/>
        </w:rPr>
        <w:t>to force all participants in energy markets to subsidize fossil generation at risk of retirement</w:t>
      </w:r>
      <w:r w:rsidR="0073196F">
        <w:rPr>
          <w:rFonts w:ascii="Slate Std" w:hAnsi="Slate Std"/>
          <w:bCs/>
        </w:rPr>
        <w:t>.</w:t>
      </w:r>
    </w:p>
    <w:p w14:paraId="51C9B904" w14:textId="77777777" w:rsidR="007C6F6F" w:rsidRPr="007C6F6F" w:rsidRDefault="007C6F6F" w:rsidP="007C6F6F">
      <w:pPr>
        <w:pStyle w:val="ListParagraph"/>
        <w:rPr>
          <w:rFonts w:ascii="Slate Std" w:hAnsi="Slate Std"/>
          <w:bCs/>
        </w:rPr>
      </w:pPr>
    </w:p>
    <w:p w14:paraId="62076C11" w14:textId="3B178123" w:rsidR="007C6F6F" w:rsidRDefault="007C6F6F" w:rsidP="00EE397B">
      <w:pPr>
        <w:pStyle w:val="ListParagraph"/>
        <w:numPr>
          <w:ilvl w:val="0"/>
          <w:numId w:val="3"/>
        </w:numPr>
        <w:jc w:val="both"/>
        <w:rPr>
          <w:rFonts w:ascii="Slate Std" w:hAnsi="Slate Std"/>
          <w:bCs/>
        </w:rPr>
      </w:pPr>
      <w:r>
        <w:rPr>
          <w:rFonts w:ascii="Slate Std" w:hAnsi="Slate Std"/>
          <w:bCs/>
        </w:rPr>
        <w:t>Require California IOUs and POUs to withdraw from the RO if a Joint Concurrent resolution is passed by the State Assembly and State Senate.</w:t>
      </w:r>
    </w:p>
    <w:p w14:paraId="60734B4D" w14:textId="77777777" w:rsidR="007C6F6F" w:rsidRPr="007C6F6F" w:rsidRDefault="007C6F6F" w:rsidP="007C6F6F">
      <w:pPr>
        <w:pStyle w:val="ListParagraph"/>
        <w:rPr>
          <w:rFonts w:ascii="Slate Std" w:hAnsi="Slate Std"/>
          <w:bCs/>
        </w:rPr>
      </w:pPr>
    </w:p>
    <w:p w14:paraId="1E8E9EEA" w14:textId="37083CBD" w:rsidR="007C6F6F" w:rsidRDefault="007C6F6F" w:rsidP="00EE397B">
      <w:pPr>
        <w:pStyle w:val="ListParagraph"/>
        <w:numPr>
          <w:ilvl w:val="0"/>
          <w:numId w:val="3"/>
        </w:numPr>
        <w:jc w:val="both"/>
        <w:rPr>
          <w:rFonts w:ascii="Slate Std" w:hAnsi="Slate Std"/>
          <w:bCs/>
        </w:rPr>
      </w:pPr>
      <w:r>
        <w:rPr>
          <w:rFonts w:ascii="Slate Std" w:hAnsi="Slate Std"/>
          <w:bCs/>
        </w:rPr>
        <w:t>Clarif</w:t>
      </w:r>
      <w:r w:rsidR="0083517D">
        <w:rPr>
          <w:rFonts w:ascii="Slate Std" w:hAnsi="Slate Std"/>
          <w:bCs/>
        </w:rPr>
        <w:t>y</w:t>
      </w:r>
      <w:r>
        <w:rPr>
          <w:rFonts w:ascii="Slate Std" w:hAnsi="Slate Std"/>
          <w:bCs/>
        </w:rPr>
        <w:t xml:space="preserve"> that the </w:t>
      </w:r>
      <w:r w:rsidR="000E76C0">
        <w:rPr>
          <w:rFonts w:ascii="Slate Std" w:hAnsi="Slate Std"/>
          <w:bCs/>
        </w:rPr>
        <w:t xml:space="preserve">RPS requirements relating to energy delivery from resources outside of a California Balancing Authority must satisfy strict standards including the use of dynamic scheduling, pseudo ties, or firm transmission rights. </w:t>
      </w:r>
      <w:r w:rsidR="00621540">
        <w:rPr>
          <w:rFonts w:ascii="Slate Std" w:hAnsi="Slate Std"/>
          <w:bCs/>
        </w:rPr>
        <w:t xml:space="preserve">These clarifications are needed </w:t>
      </w:r>
      <w:proofErr w:type="gramStart"/>
      <w:r w:rsidR="00621540">
        <w:rPr>
          <w:rFonts w:ascii="Slate Std" w:hAnsi="Slate Std"/>
          <w:bCs/>
        </w:rPr>
        <w:t>in light of</w:t>
      </w:r>
      <w:proofErr w:type="gramEnd"/>
      <w:r w:rsidR="00621540">
        <w:rPr>
          <w:rFonts w:ascii="Slate Std" w:hAnsi="Slate Std"/>
          <w:bCs/>
        </w:rPr>
        <w:t xml:space="preserve"> changes to energy market rules and practices under EDAM.</w:t>
      </w:r>
    </w:p>
    <w:p w14:paraId="67D1C0BF" w14:textId="4D92EC1B" w:rsidR="00453A21" w:rsidRPr="00453A21" w:rsidRDefault="00F73641" w:rsidP="00453A21">
      <w:pPr>
        <w:rPr>
          <w:rFonts w:ascii="Slate Std" w:hAnsi="Slate Std"/>
          <w:bCs/>
        </w:rPr>
      </w:pPr>
      <w:r>
        <w:rPr>
          <w:rFonts w:ascii="Slate Std" w:hAnsi="Slate Std"/>
          <w:bCs/>
        </w:rPr>
        <w:t xml:space="preserve">The adoption of amendments </w:t>
      </w:r>
      <w:r w:rsidR="00621540">
        <w:rPr>
          <w:rFonts w:ascii="Slate Std" w:hAnsi="Slate Std"/>
          <w:bCs/>
        </w:rPr>
        <w:t xml:space="preserve">responsive to these concerns </w:t>
      </w:r>
      <w:r>
        <w:rPr>
          <w:rFonts w:ascii="Slate Std" w:hAnsi="Slate Std"/>
          <w:bCs/>
        </w:rPr>
        <w:t xml:space="preserve">would allow TURN to remove our opposition. </w:t>
      </w:r>
      <w:r w:rsidR="007C0C38">
        <w:rPr>
          <w:rFonts w:ascii="Slate Std" w:hAnsi="Slate Std"/>
          <w:bCs/>
        </w:rPr>
        <w:t xml:space="preserve">While we recognize the potential benefits of an efficiently administered regional energy market, the risk of adverse outcomes to California consumers and California policy leadership must be fully addressed in this bill. </w:t>
      </w:r>
    </w:p>
    <w:p w14:paraId="77EC7556" w14:textId="7EA32E3D" w:rsidR="00EB7583" w:rsidRDefault="00EB7583" w:rsidP="00EB7583">
      <w:pPr>
        <w:spacing w:before="100" w:beforeAutospacing="1" w:after="100" w:afterAutospacing="1"/>
        <w:jc w:val="both"/>
        <w:rPr>
          <w:rFonts w:ascii="Slate Std" w:hAnsi="Slate Std"/>
        </w:rPr>
      </w:pPr>
      <w:r w:rsidRPr="007A5137">
        <w:rPr>
          <w:rFonts w:ascii="Slate Std" w:hAnsi="Slate Std"/>
          <w:color w:val="000000" w:themeColor="text1"/>
        </w:rPr>
        <w:t>For more information about TU</w:t>
      </w:r>
      <w:r>
        <w:rPr>
          <w:rFonts w:ascii="Slate Std" w:hAnsi="Slate Std"/>
        </w:rPr>
        <w:t>RN’s position,</w:t>
      </w:r>
      <w:r w:rsidRPr="004811BE">
        <w:rPr>
          <w:rFonts w:ascii="Slate Std" w:hAnsi="Slate Std"/>
        </w:rPr>
        <w:t xml:space="preserve"> please contact the Hernandez Strategy Group at (916) 447-9719.</w:t>
      </w:r>
      <w:r>
        <w:rPr>
          <w:rFonts w:ascii="Slate Std" w:hAnsi="Slate Std"/>
        </w:rPr>
        <w:tab/>
      </w:r>
    </w:p>
    <w:p w14:paraId="455E5994" w14:textId="77777777" w:rsidR="00EB7583" w:rsidRDefault="00EB7583" w:rsidP="00F03455">
      <w:pPr>
        <w:spacing w:after="0"/>
        <w:ind w:left="4320" w:firstLine="720"/>
        <w:rPr>
          <w:rFonts w:ascii="Slate Std" w:hAnsi="Slate Std"/>
        </w:rPr>
      </w:pPr>
    </w:p>
    <w:p w14:paraId="4F9F6DD6" w14:textId="77777777" w:rsidR="00EB7583" w:rsidRPr="00671B9A" w:rsidRDefault="00EB7583" w:rsidP="00F03455">
      <w:pPr>
        <w:spacing w:after="0"/>
        <w:ind w:left="4320" w:firstLine="720"/>
        <w:rPr>
          <w:rFonts w:ascii="Slate Std" w:hAnsi="Slate Std"/>
        </w:rPr>
      </w:pPr>
      <w:r>
        <w:rPr>
          <w:rFonts w:ascii="Slate Std" w:hAnsi="Slate Std"/>
          <w:noProof/>
        </w:rPr>
        <w:drawing>
          <wp:anchor distT="0" distB="0" distL="114300" distR="114300" simplePos="0" relativeHeight="251663360" behindDoc="1" locked="0" layoutInCell="1" allowOverlap="1" wp14:anchorId="1377A1BC" wp14:editId="29FF83CE">
            <wp:simplePos x="0" y="0"/>
            <wp:positionH relativeFrom="column">
              <wp:posOffset>3181350</wp:posOffset>
            </wp:positionH>
            <wp:positionV relativeFrom="paragraph">
              <wp:posOffset>88265</wp:posOffset>
            </wp:positionV>
            <wp:extent cx="2028825" cy="657225"/>
            <wp:effectExtent l="19050" t="0" r="9525" b="0"/>
            <wp:wrapNone/>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12" cstate="print"/>
                    <a:srcRect/>
                    <a:stretch>
                      <a:fillRect/>
                    </a:stretch>
                  </pic:blipFill>
                  <pic:spPr bwMode="auto">
                    <a:xfrm>
                      <a:off x="0" y="0"/>
                      <a:ext cx="2028825" cy="657225"/>
                    </a:xfrm>
                    <a:prstGeom prst="rect">
                      <a:avLst/>
                    </a:prstGeom>
                    <a:noFill/>
                    <a:ln w="9525">
                      <a:noFill/>
                      <a:miter lim="800000"/>
                      <a:headEnd/>
                      <a:tailEnd/>
                    </a:ln>
                  </pic:spPr>
                </pic:pic>
              </a:graphicData>
            </a:graphic>
          </wp:anchor>
        </w:drawing>
      </w:r>
      <w:r w:rsidRPr="00671B9A">
        <w:rPr>
          <w:rFonts w:ascii="Slate Std" w:hAnsi="Slate Std"/>
        </w:rPr>
        <w:t xml:space="preserve">Sincerely, </w:t>
      </w:r>
    </w:p>
    <w:p w14:paraId="32459A3D" w14:textId="77777777" w:rsidR="00EB7583" w:rsidRDefault="00EB7583" w:rsidP="00F03455">
      <w:pPr>
        <w:spacing w:after="0"/>
        <w:jc w:val="both"/>
        <w:rPr>
          <w:rFonts w:ascii="Slate Std" w:hAnsi="Slate Std"/>
        </w:rPr>
      </w:pPr>
      <w:r w:rsidRPr="00671B9A">
        <w:rPr>
          <w:rFonts w:ascii="Slate Std" w:hAnsi="Slate Std"/>
        </w:rPr>
        <w:tab/>
      </w:r>
      <w:r w:rsidRPr="00671B9A">
        <w:rPr>
          <w:rFonts w:ascii="Slate Std" w:hAnsi="Slate Std"/>
        </w:rPr>
        <w:tab/>
      </w:r>
      <w:r w:rsidRPr="00671B9A">
        <w:rPr>
          <w:rFonts w:ascii="Slate Std" w:hAnsi="Slate Std"/>
        </w:rPr>
        <w:tab/>
      </w:r>
      <w:r w:rsidRPr="00671B9A">
        <w:rPr>
          <w:rFonts w:ascii="Slate Std" w:hAnsi="Slate Std"/>
        </w:rPr>
        <w:tab/>
      </w:r>
      <w:r w:rsidRPr="00671B9A">
        <w:rPr>
          <w:rFonts w:ascii="Slate Std" w:hAnsi="Slate Std"/>
        </w:rPr>
        <w:tab/>
      </w:r>
      <w:r w:rsidRPr="00671B9A">
        <w:rPr>
          <w:rFonts w:ascii="Slate Std" w:hAnsi="Slate Std"/>
        </w:rPr>
        <w:tab/>
      </w:r>
    </w:p>
    <w:p w14:paraId="208B8A6C" w14:textId="77777777" w:rsidR="00F03455" w:rsidRDefault="00F03455" w:rsidP="00F03455">
      <w:pPr>
        <w:spacing w:after="0"/>
        <w:jc w:val="both"/>
        <w:rPr>
          <w:rFonts w:ascii="Slate Std" w:hAnsi="Slate Std"/>
        </w:rPr>
      </w:pPr>
    </w:p>
    <w:p w14:paraId="49EAE607" w14:textId="77777777" w:rsidR="00F03455" w:rsidRPr="00671B9A" w:rsidRDefault="00F03455" w:rsidP="00F03455">
      <w:pPr>
        <w:spacing w:after="0"/>
        <w:jc w:val="both"/>
        <w:rPr>
          <w:rFonts w:ascii="Slate Std" w:hAnsi="Slate Std"/>
        </w:rPr>
      </w:pPr>
    </w:p>
    <w:p w14:paraId="1D12C51D" w14:textId="390F227A" w:rsidR="00EB7583" w:rsidRPr="00671B9A" w:rsidRDefault="00EB7583" w:rsidP="00F03455">
      <w:pPr>
        <w:spacing w:after="0"/>
        <w:jc w:val="both"/>
        <w:rPr>
          <w:rFonts w:ascii="Slate Std" w:hAnsi="Slate Std"/>
        </w:rPr>
      </w:pPr>
      <w:r w:rsidRPr="00671B9A">
        <w:rPr>
          <w:rFonts w:ascii="Slate Std" w:hAnsi="Slate Std"/>
        </w:rPr>
        <w:tab/>
      </w:r>
      <w:r>
        <w:rPr>
          <w:rFonts w:ascii="Slate Std" w:hAnsi="Slate Std"/>
        </w:rPr>
        <w:tab/>
      </w:r>
      <w:r>
        <w:rPr>
          <w:rFonts w:ascii="Slate Std" w:hAnsi="Slate Std"/>
        </w:rPr>
        <w:tab/>
      </w:r>
      <w:r w:rsidR="00F03455">
        <w:rPr>
          <w:rFonts w:ascii="Slate Std" w:hAnsi="Slate Std"/>
        </w:rPr>
        <w:tab/>
      </w:r>
      <w:r w:rsidR="00F03455">
        <w:rPr>
          <w:rFonts w:ascii="Slate Std" w:hAnsi="Slate Std"/>
        </w:rPr>
        <w:tab/>
      </w:r>
      <w:r w:rsidR="00F03455">
        <w:rPr>
          <w:rFonts w:ascii="Slate Std" w:hAnsi="Slate Std"/>
        </w:rPr>
        <w:tab/>
      </w:r>
      <w:r w:rsidR="00F03455">
        <w:rPr>
          <w:rFonts w:ascii="Slate Std" w:hAnsi="Slate Std"/>
        </w:rPr>
        <w:tab/>
      </w:r>
      <w:r>
        <w:rPr>
          <w:rFonts w:ascii="Slate Std" w:hAnsi="Slate Std"/>
        </w:rPr>
        <w:t>Matthew Freedman</w:t>
      </w:r>
    </w:p>
    <w:p w14:paraId="7420A10E" w14:textId="77777777" w:rsidR="00EB7583" w:rsidRDefault="00EB7583" w:rsidP="00F03455">
      <w:pPr>
        <w:spacing w:after="0"/>
        <w:jc w:val="both"/>
        <w:rPr>
          <w:rFonts w:ascii="Slate Std" w:hAnsi="Slate Std"/>
        </w:rPr>
      </w:pPr>
      <w:r>
        <w:rPr>
          <w:rFonts w:ascii="Slate Std" w:hAnsi="Slate Std"/>
        </w:rPr>
        <w:tab/>
      </w:r>
      <w:r>
        <w:rPr>
          <w:rFonts w:ascii="Slate Std" w:hAnsi="Slate Std"/>
        </w:rPr>
        <w:tab/>
      </w:r>
      <w:r>
        <w:rPr>
          <w:rFonts w:ascii="Slate Std" w:hAnsi="Slate Std"/>
        </w:rPr>
        <w:tab/>
      </w:r>
      <w:r>
        <w:rPr>
          <w:rFonts w:ascii="Slate Std" w:hAnsi="Slate Std"/>
        </w:rPr>
        <w:tab/>
      </w:r>
      <w:r>
        <w:rPr>
          <w:rFonts w:ascii="Slate Std" w:hAnsi="Slate Std"/>
        </w:rPr>
        <w:tab/>
      </w:r>
      <w:r>
        <w:rPr>
          <w:rFonts w:ascii="Slate Std" w:hAnsi="Slate Std"/>
        </w:rPr>
        <w:tab/>
      </w:r>
      <w:r>
        <w:rPr>
          <w:rFonts w:ascii="Slate Std" w:hAnsi="Slate Std"/>
        </w:rPr>
        <w:tab/>
      </w:r>
      <w:r w:rsidRPr="00671B9A">
        <w:rPr>
          <w:rFonts w:ascii="Slate Std" w:hAnsi="Slate Std"/>
        </w:rPr>
        <w:t>Staff Attorney</w:t>
      </w:r>
    </w:p>
    <w:p w14:paraId="22CF86C8" w14:textId="77777777" w:rsidR="00EB7583" w:rsidRDefault="00EB7583" w:rsidP="00F03455">
      <w:pPr>
        <w:spacing w:after="0"/>
        <w:jc w:val="both"/>
        <w:rPr>
          <w:rFonts w:ascii="Slate Std" w:hAnsi="Slate Std"/>
        </w:rPr>
      </w:pPr>
    </w:p>
    <w:p w14:paraId="0A0C38D8" w14:textId="76DA4911" w:rsidR="00B1078A" w:rsidRDefault="00EB7583" w:rsidP="00F03455">
      <w:pPr>
        <w:spacing w:after="0"/>
        <w:jc w:val="both"/>
        <w:rPr>
          <w:rFonts w:ascii="Slate Std" w:hAnsi="Slate Std"/>
        </w:rPr>
      </w:pPr>
      <w:r w:rsidRPr="00671B9A">
        <w:rPr>
          <w:rFonts w:ascii="Slate Std" w:hAnsi="Slate Std"/>
        </w:rPr>
        <w:t>Cc:</w:t>
      </w:r>
      <w:r w:rsidRPr="00671B9A">
        <w:rPr>
          <w:rFonts w:ascii="Slate Std" w:hAnsi="Slate Std"/>
        </w:rPr>
        <w:tab/>
      </w:r>
      <w:r>
        <w:rPr>
          <w:rFonts w:ascii="Slate Std" w:hAnsi="Slate Std"/>
        </w:rPr>
        <w:t>Members</w:t>
      </w:r>
      <w:r w:rsidRPr="00671B9A">
        <w:rPr>
          <w:rFonts w:ascii="Slate Std" w:hAnsi="Slate Std"/>
        </w:rPr>
        <w:t xml:space="preserve">, </w:t>
      </w:r>
      <w:r w:rsidR="003B3EED">
        <w:rPr>
          <w:rFonts w:ascii="Slate Std" w:hAnsi="Slate Std"/>
        </w:rPr>
        <w:t>Senate Energy, Utilities and Communications Committee</w:t>
      </w:r>
    </w:p>
    <w:p w14:paraId="60AFE44A" w14:textId="2A6BBB2C" w:rsidR="009B3ADC" w:rsidRPr="00097FEA" w:rsidRDefault="00097FEA" w:rsidP="00F03455">
      <w:pPr>
        <w:spacing w:after="0"/>
        <w:jc w:val="both"/>
        <w:rPr>
          <w:rFonts w:ascii="Slate Std" w:hAnsi="Slate Std"/>
        </w:rPr>
      </w:pPr>
      <w:r>
        <w:rPr>
          <w:rFonts w:ascii="Slate Std" w:hAnsi="Slate Std"/>
        </w:rPr>
        <w:tab/>
      </w:r>
      <w:r w:rsidR="003B3EED">
        <w:rPr>
          <w:rFonts w:ascii="Slate Std" w:hAnsi="Slate Std"/>
        </w:rPr>
        <w:t xml:space="preserve">Senator </w:t>
      </w:r>
      <w:r w:rsidR="003F31DE">
        <w:rPr>
          <w:rFonts w:ascii="Slate Std" w:hAnsi="Slate Std"/>
        </w:rPr>
        <w:t>Josh Becker</w:t>
      </w:r>
    </w:p>
    <w:sectPr w:rsidR="009B3ADC" w:rsidRPr="00097FEA" w:rsidSect="00381FCF">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A813" w14:textId="77777777" w:rsidR="000A250B" w:rsidRDefault="000A250B" w:rsidP="00121074">
      <w:pPr>
        <w:spacing w:after="0" w:line="240" w:lineRule="auto"/>
      </w:pPr>
      <w:r>
        <w:separator/>
      </w:r>
    </w:p>
  </w:endnote>
  <w:endnote w:type="continuationSeparator" w:id="0">
    <w:p w14:paraId="0BBE679E" w14:textId="77777777" w:rsidR="000A250B" w:rsidRDefault="000A250B" w:rsidP="00121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ate Std">
    <w:altName w:val="Calibri"/>
    <w:panose1 w:val="00000000000000000000"/>
    <w:charset w:val="4D"/>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lateStd">
    <w:altName w:val="Calibri"/>
    <w:panose1 w:val="00000000000000000000"/>
    <w:charset w:val="4D"/>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7966268"/>
      <w:docPartObj>
        <w:docPartGallery w:val="Page Numbers (Bottom of Page)"/>
        <w:docPartUnique/>
      </w:docPartObj>
    </w:sdtPr>
    <w:sdtEndPr>
      <w:rPr>
        <w:rStyle w:val="PageNumber"/>
      </w:rPr>
    </w:sdtEndPr>
    <w:sdtContent>
      <w:p w14:paraId="2649543C" w14:textId="09A8D69A" w:rsidR="00381FCF" w:rsidRDefault="00381FCF" w:rsidP="0044153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D3B813" w14:textId="77777777" w:rsidR="00381FCF" w:rsidRDefault="00381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4575679"/>
      <w:docPartObj>
        <w:docPartGallery w:val="Page Numbers (Bottom of Page)"/>
        <w:docPartUnique/>
      </w:docPartObj>
    </w:sdtPr>
    <w:sdtEndPr>
      <w:rPr>
        <w:rStyle w:val="PageNumber"/>
        <w:rFonts w:ascii="Slate Std" w:hAnsi="Slate Std"/>
      </w:rPr>
    </w:sdtEndPr>
    <w:sdtContent>
      <w:p w14:paraId="710DB31E" w14:textId="2D3D7365" w:rsidR="00381FCF" w:rsidRPr="00621540" w:rsidRDefault="00381FCF" w:rsidP="0044153B">
        <w:pPr>
          <w:pStyle w:val="Footer"/>
          <w:framePr w:wrap="none" w:vAnchor="text" w:hAnchor="margin" w:xAlign="center" w:y="1"/>
          <w:rPr>
            <w:rStyle w:val="PageNumber"/>
            <w:rFonts w:ascii="Slate Std" w:hAnsi="Slate Std"/>
          </w:rPr>
        </w:pPr>
        <w:r w:rsidRPr="00621540">
          <w:rPr>
            <w:rStyle w:val="PageNumber"/>
            <w:rFonts w:ascii="Slate Std" w:hAnsi="Slate Std"/>
          </w:rPr>
          <w:fldChar w:fldCharType="begin"/>
        </w:r>
        <w:r w:rsidRPr="00621540">
          <w:rPr>
            <w:rStyle w:val="PageNumber"/>
            <w:rFonts w:ascii="Slate Std" w:hAnsi="Slate Std"/>
          </w:rPr>
          <w:instrText xml:space="preserve"> PAGE </w:instrText>
        </w:r>
        <w:r w:rsidRPr="00621540">
          <w:rPr>
            <w:rStyle w:val="PageNumber"/>
            <w:rFonts w:ascii="Slate Std" w:hAnsi="Slate Std"/>
          </w:rPr>
          <w:fldChar w:fldCharType="separate"/>
        </w:r>
        <w:r w:rsidRPr="00621540">
          <w:rPr>
            <w:rStyle w:val="PageNumber"/>
            <w:rFonts w:ascii="Slate Std" w:hAnsi="Slate Std"/>
            <w:noProof/>
          </w:rPr>
          <w:t>2</w:t>
        </w:r>
        <w:r w:rsidRPr="00621540">
          <w:rPr>
            <w:rStyle w:val="PageNumber"/>
            <w:rFonts w:ascii="Slate Std" w:hAnsi="Slate Std"/>
          </w:rPr>
          <w:fldChar w:fldCharType="end"/>
        </w:r>
      </w:p>
    </w:sdtContent>
  </w:sdt>
  <w:p w14:paraId="22A00C89" w14:textId="77777777" w:rsidR="00381FCF" w:rsidRPr="00621540" w:rsidRDefault="00381FCF">
    <w:pPr>
      <w:pStyle w:val="Footer"/>
      <w:rPr>
        <w:rFonts w:ascii="Slate Std" w:hAnsi="Slate St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9BAC" w14:textId="77777777" w:rsidR="000A250B" w:rsidRDefault="000A250B" w:rsidP="00121074">
      <w:pPr>
        <w:spacing w:after="0" w:line="240" w:lineRule="auto"/>
      </w:pPr>
      <w:r>
        <w:separator/>
      </w:r>
    </w:p>
  </w:footnote>
  <w:footnote w:type="continuationSeparator" w:id="0">
    <w:p w14:paraId="729EA70A" w14:textId="77777777" w:rsidR="000A250B" w:rsidRDefault="000A250B" w:rsidP="00121074">
      <w:pPr>
        <w:spacing w:after="0" w:line="240" w:lineRule="auto"/>
      </w:pPr>
      <w:r>
        <w:continuationSeparator/>
      </w:r>
    </w:p>
  </w:footnote>
  <w:footnote w:id="1">
    <w:p w14:paraId="7B4E78E5" w14:textId="77777777" w:rsidR="003F31DE" w:rsidRPr="00621540" w:rsidRDefault="003F31DE" w:rsidP="003F31DE">
      <w:pPr>
        <w:pStyle w:val="FootnoteText"/>
        <w:rPr>
          <w:rFonts w:ascii="Slate Std" w:hAnsi="Slate Std"/>
        </w:rPr>
      </w:pPr>
      <w:r w:rsidRPr="00621540">
        <w:rPr>
          <w:rStyle w:val="FootnoteReference"/>
          <w:rFonts w:ascii="Slate Std" w:hAnsi="Slate Std"/>
        </w:rPr>
        <w:footnoteRef/>
      </w:r>
      <w:r w:rsidRPr="00621540">
        <w:rPr>
          <w:rFonts w:ascii="Slate Std" w:hAnsi="Slate Std"/>
        </w:rPr>
        <w:t xml:space="preserve"> https://www.whitehouse.gov/presidential-actions/2025/04/strengthening-the-reliability-and-security-of-the-united-states-electric-grid/</w:t>
      </w:r>
    </w:p>
  </w:footnote>
  <w:footnote w:id="2">
    <w:p w14:paraId="63BFAC2C" w14:textId="5BA4FD01" w:rsidR="003F31DE" w:rsidRPr="00621540" w:rsidRDefault="003F31DE">
      <w:pPr>
        <w:pStyle w:val="FootnoteText"/>
        <w:rPr>
          <w:rFonts w:ascii="Slate Std" w:hAnsi="Slate Std"/>
        </w:rPr>
      </w:pPr>
      <w:r w:rsidRPr="00621540">
        <w:rPr>
          <w:rStyle w:val="FootnoteReference"/>
          <w:rFonts w:ascii="Slate Std" w:hAnsi="Slate Std"/>
        </w:rPr>
        <w:footnoteRef/>
      </w:r>
      <w:r w:rsidRPr="00621540">
        <w:rPr>
          <w:rFonts w:ascii="Slate Std" w:hAnsi="Slate Std"/>
        </w:rPr>
        <w:t xml:space="preserve"> https://www.whitehouse.gov/presidential-actions/2025/04/protecting-american-energy-from-state-overreach/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5DF9"/>
    <w:multiLevelType w:val="hybridMultilevel"/>
    <w:tmpl w:val="498AAA90"/>
    <w:lvl w:ilvl="0" w:tplc="D8747000">
      <w:start w:val="1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24162"/>
    <w:multiLevelType w:val="hybridMultilevel"/>
    <w:tmpl w:val="1324CC62"/>
    <w:lvl w:ilvl="0" w:tplc="3E62BAD6">
      <w:start w:val="6"/>
      <w:numFmt w:val="bullet"/>
      <w:lvlText w:val="-"/>
      <w:lvlJc w:val="left"/>
      <w:pPr>
        <w:ind w:left="720" w:hanging="360"/>
      </w:pPr>
      <w:rPr>
        <w:rFonts w:ascii="Slate Std" w:eastAsiaTheme="minorHAnsi" w:hAnsi="Slate St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2475CA"/>
    <w:multiLevelType w:val="hybridMultilevel"/>
    <w:tmpl w:val="04B030C4"/>
    <w:lvl w:ilvl="0" w:tplc="B8B692CC">
      <w:start w:val="1020"/>
      <w:numFmt w:val="bullet"/>
      <w:lvlText w:val="-"/>
      <w:lvlJc w:val="left"/>
      <w:pPr>
        <w:ind w:left="720" w:hanging="360"/>
      </w:pPr>
      <w:rPr>
        <w:rFonts w:ascii="Slate Std" w:eastAsiaTheme="minorHAnsi" w:hAnsi="Slate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312760">
    <w:abstractNumId w:val="0"/>
  </w:num>
  <w:num w:numId="2" w16cid:durableId="600648206">
    <w:abstractNumId w:val="1"/>
  </w:num>
  <w:num w:numId="3" w16cid:durableId="905729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8A"/>
    <w:rsid w:val="000046A2"/>
    <w:rsid w:val="000064B3"/>
    <w:rsid w:val="000579BD"/>
    <w:rsid w:val="00067283"/>
    <w:rsid w:val="00067F7A"/>
    <w:rsid w:val="00084D84"/>
    <w:rsid w:val="00087169"/>
    <w:rsid w:val="00090963"/>
    <w:rsid w:val="00097FEA"/>
    <w:rsid w:val="000A250B"/>
    <w:rsid w:val="000D00C2"/>
    <w:rsid w:val="000E19AC"/>
    <w:rsid w:val="000E76C0"/>
    <w:rsid w:val="00121074"/>
    <w:rsid w:val="00123A4A"/>
    <w:rsid w:val="00140DBD"/>
    <w:rsid w:val="00166791"/>
    <w:rsid w:val="00171CB9"/>
    <w:rsid w:val="0018637F"/>
    <w:rsid w:val="00191278"/>
    <w:rsid w:val="001A3DAA"/>
    <w:rsid w:val="001B1E6F"/>
    <w:rsid w:val="00207C15"/>
    <w:rsid w:val="002109EB"/>
    <w:rsid w:val="00254E5D"/>
    <w:rsid w:val="00256D1C"/>
    <w:rsid w:val="002813EC"/>
    <w:rsid w:val="0028767E"/>
    <w:rsid w:val="002A4809"/>
    <w:rsid w:val="002B007D"/>
    <w:rsid w:val="002B0C76"/>
    <w:rsid w:val="002B614B"/>
    <w:rsid w:val="002C5954"/>
    <w:rsid w:val="00304D88"/>
    <w:rsid w:val="003077A8"/>
    <w:rsid w:val="003217AC"/>
    <w:rsid w:val="003262DF"/>
    <w:rsid w:val="003514A7"/>
    <w:rsid w:val="003637D1"/>
    <w:rsid w:val="00373D1F"/>
    <w:rsid w:val="00381FCF"/>
    <w:rsid w:val="003A3785"/>
    <w:rsid w:val="003B04BB"/>
    <w:rsid w:val="003B335E"/>
    <w:rsid w:val="003B3EED"/>
    <w:rsid w:val="003B7765"/>
    <w:rsid w:val="003F31DE"/>
    <w:rsid w:val="003F3F72"/>
    <w:rsid w:val="003F6177"/>
    <w:rsid w:val="003F7D2E"/>
    <w:rsid w:val="00410E83"/>
    <w:rsid w:val="00412989"/>
    <w:rsid w:val="00427655"/>
    <w:rsid w:val="00450615"/>
    <w:rsid w:val="00453A21"/>
    <w:rsid w:val="00474133"/>
    <w:rsid w:val="00492907"/>
    <w:rsid w:val="004B120E"/>
    <w:rsid w:val="004B2EF4"/>
    <w:rsid w:val="004B37DB"/>
    <w:rsid w:val="004B5B59"/>
    <w:rsid w:val="004B5F4A"/>
    <w:rsid w:val="004C595E"/>
    <w:rsid w:val="00520E06"/>
    <w:rsid w:val="0053271E"/>
    <w:rsid w:val="00541B3F"/>
    <w:rsid w:val="00562D84"/>
    <w:rsid w:val="005A329C"/>
    <w:rsid w:val="005B3C42"/>
    <w:rsid w:val="005C2806"/>
    <w:rsid w:val="005E1765"/>
    <w:rsid w:val="005F4628"/>
    <w:rsid w:val="006005D6"/>
    <w:rsid w:val="006075DC"/>
    <w:rsid w:val="00607B82"/>
    <w:rsid w:val="00621540"/>
    <w:rsid w:val="00627EC7"/>
    <w:rsid w:val="00643C71"/>
    <w:rsid w:val="00670969"/>
    <w:rsid w:val="0067209E"/>
    <w:rsid w:val="00690423"/>
    <w:rsid w:val="00691CDD"/>
    <w:rsid w:val="006B67ED"/>
    <w:rsid w:val="006D7F15"/>
    <w:rsid w:val="006E79EB"/>
    <w:rsid w:val="007203A8"/>
    <w:rsid w:val="0073196F"/>
    <w:rsid w:val="0075365D"/>
    <w:rsid w:val="00782B72"/>
    <w:rsid w:val="007B5465"/>
    <w:rsid w:val="007B5864"/>
    <w:rsid w:val="007C0C38"/>
    <w:rsid w:val="007C3453"/>
    <w:rsid w:val="007C6F6F"/>
    <w:rsid w:val="007F262B"/>
    <w:rsid w:val="007F4948"/>
    <w:rsid w:val="008108CF"/>
    <w:rsid w:val="0082474A"/>
    <w:rsid w:val="00834336"/>
    <w:rsid w:val="0083517D"/>
    <w:rsid w:val="0085297C"/>
    <w:rsid w:val="008715A9"/>
    <w:rsid w:val="008818A4"/>
    <w:rsid w:val="008843C7"/>
    <w:rsid w:val="008940B3"/>
    <w:rsid w:val="008C3568"/>
    <w:rsid w:val="008E31BF"/>
    <w:rsid w:val="008E6D8D"/>
    <w:rsid w:val="009135D1"/>
    <w:rsid w:val="00917B59"/>
    <w:rsid w:val="009235FE"/>
    <w:rsid w:val="00935E63"/>
    <w:rsid w:val="00965A3D"/>
    <w:rsid w:val="00974932"/>
    <w:rsid w:val="0098010A"/>
    <w:rsid w:val="00981A59"/>
    <w:rsid w:val="00983497"/>
    <w:rsid w:val="00984C65"/>
    <w:rsid w:val="009A5BAD"/>
    <w:rsid w:val="009A68BB"/>
    <w:rsid w:val="009B38E2"/>
    <w:rsid w:val="009B3ADC"/>
    <w:rsid w:val="009D215C"/>
    <w:rsid w:val="009D2EB6"/>
    <w:rsid w:val="009F00E4"/>
    <w:rsid w:val="00A279F3"/>
    <w:rsid w:val="00A30038"/>
    <w:rsid w:val="00A32716"/>
    <w:rsid w:val="00A36CC9"/>
    <w:rsid w:val="00A54122"/>
    <w:rsid w:val="00A5608C"/>
    <w:rsid w:val="00A57308"/>
    <w:rsid w:val="00A62298"/>
    <w:rsid w:val="00A73EE5"/>
    <w:rsid w:val="00A762BA"/>
    <w:rsid w:val="00AD32BF"/>
    <w:rsid w:val="00AD6414"/>
    <w:rsid w:val="00AE73F6"/>
    <w:rsid w:val="00B1078A"/>
    <w:rsid w:val="00B16806"/>
    <w:rsid w:val="00B34F6B"/>
    <w:rsid w:val="00B44776"/>
    <w:rsid w:val="00B44C66"/>
    <w:rsid w:val="00B44FBB"/>
    <w:rsid w:val="00B546D6"/>
    <w:rsid w:val="00B55DF7"/>
    <w:rsid w:val="00B705DF"/>
    <w:rsid w:val="00B7553C"/>
    <w:rsid w:val="00B76DA7"/>
    <w:rsid w:val="00B92CA2"/>
    <w:rsid w:val="00B95EB3"/>
    <w:rsid w:val="00BC4C23"/>
    <w:rsid w:val="00BD7FFE"/>
    <w:rsid w:val="00BE4EF5"/>
    <w:rsid w:val="00C07DC4"/>
    <w:rsid w:val="00C12790"/>
    <w:rsid w:val="00C34ACC"/>
    <w:rsid w:val="00C37171"/>
    <w:rsid w:val="00C615F8"/>
    <w:rsid w:val="00C64168"/>
    <w:rsid w:val="00C64462"/>
    <w:rsid w:val="00C75BBC"/>
    <w:rsid w:val="00C8214D"/>
    <w:rsid w:val="00CB7747"/>
    <w:rsid w:val="00CC1CB4"/>
    <w:rsid w:val="00CC43E1"/>
    <w:rsid w:val="00CD205B"/>
    <w:rsid w:val="00CF1296"/>
    <w:rsid w:val="00D07D3A"/>
    <w:rsid w:val="00D16EA6"/>
    <w:rsid w:val="00D45223"/>
    <w:rsid w:val="00D54B23"/>
    <w:rsid w:val="00D91107"/>
    <w:rsid w:val="00D96F6D"/>
    <w:rsid w:val="00D97222"/>
    <w:rsid w:val="00DC0479"/>
    <w:rsid w:val="00DC6EA3"/>
    <w:rsid w:val="00DC7E04"/>
    <w:rsid w:val="00DD3DE3"/>
    <w:rsid w:val="00DE4CCF"/>
    <w:rsid w:val="00DF2275"/>
    <w:rsid w:val="00E24A4A"/>
    <w:rsid w:val="00E66A1A"/>
    <w:rsid w:val="00E973EB"/>
    <w:rsid w:val="00EB5527"/>
    <w:rsid w:val="00EB7583"/>
    <w:rsid w:val="00EC57FE"/>
    <w:rsid w:val="00EC6094"/>
    <w:rsid w:val="00EE171A"/>
    <w:rsid w:val="00EE397B"/>
    <w:rsid w:val="00EF0151"/>
    <w:rsid w:val="00F03455"/>
    <w:rsid w:val="00F03B04"/>
    <w:rsid w:val="00F0566D"/>
    <w:rsid w:val="00F057E7"/>
    <w:rsid w:val="00F10FE7"/>
    <w:rsid w:val="00F40B0F"/>
    <w:rsid w:val="00F6458D"/>
    <w:rsid w:val="00F709DC"/>
    <w:rsid w:val="00F73641"/>
    <w:rsid w:val="00F7575A"/>
    <w:rsid w:val="00F827CD"/>
    <w:rsid w:val="00F924BC"/>
    <w:rsid w:val="00F9687B"/>
    <w:rsid w:val="00FC5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BD75"/>
  <w15:chartTrackingRefBased/>
  <w15:docId w15:val="{FD370160-59F0-B843-9E3D-9F9B1917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78A"/>
    <w:rPr>
      <w:rFonts w:eastAsiaTheme="majorEastAsia" w:cstheme="majorBidi"/>
      <w:color w:val="272727" w:themeColor="text1" w:themeTint="D8"/>
    </w:rPr>
  </w:style>
  <w:style w:type="paragraph" w:styleId="Title">
    <w:name w:val="Title"/>
    <w:basedOn w:val="Normal"/>
    <w:next w:val="Normal"/>
    <w:link w:val="TitleChar"/>
    <w:uiPriority w:val="10"/>
    <w:qFormat/>
    <w:rsid w:val="00B10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78A"/>
    <w:pPr>
      <w:spacing w:before="160"/>
      <w:jc w:val="center"/>
    </w:pPr>
    <w:rPr>
      <w:i/>
      <w:iCs/>
      <w:color w:val="404040" w:themeColor="text1" w:themeTint="BF"/>
    </w:rPr>
  </w:style>
  <w:style w:type="character" w:customStyle="1" w:styleId="QuoteChar">
    <w:name w:val="Quote Char"/>
    <w:basedOn w:val="DefaultParagraphFont"/>
    <w:link w:val="Quote"/>
    <w:uiPriority w:val="29"/>
    <w:rsid w:val="00B1078A"/>
    <w:rPr>
      <w:i/>
      <w:iCs/>
      <w:color w:val="404040" w:themeColor="text1" w:themeTint="BF"/>
    </w:rPr>
  </w:style>
  <w:style w:type="paragraph" w:styleId="ListParagraph">
    <w:name w:val="List Paragraph"/>
    <w:basedOn w:val="Normal"/>
    <w:uiPriority w:val="34"/>
    <w:qFormat/>
    <w:rsid w:val="00B1078A"/>
    <w:pPr>
      <w:ind w:left="720"/>
      <w:contextualSpacing/>
    </w:pPr>
  </w:style>
  <w:style w:type="character" w:styleId="IntenseEmphasis">
    <w:name w:val="Intense Emphasis"/>
    <w:basedOn w:val="DefaultParagraphFont"/>
    <w:uiPriority w:val="21"/>
    <w:qFormat/>
    <w:rsid w:val="00B1078A"/>
    <w:rPr>
      <w:i/>
      <w:iCs/>
      <w:color w:val="0F4761" w:themeColor="accent1" w:themeShade="BF"/>
    </w:rPr>
  </w:style>
  <w:style w:type="paragraph" w:styleId="IntenseQuote">
    <w:name w:val="Intense Quote"/>
    <w:basedOn w:val="Normal"/>
    <w:next w:val="Normal"/>
    <w:link w:val="IntenseQuoteChar"/>
    <w:uiPriority w:val="30"/>
    <w:qFormat/>
    <w:rsid w:val="00B10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78A"/>
    <w:rPr>
      <w:i/>
      <w:iCs/>
      <w:color w:val="0F4761" w:themeColor="accent1" w:themeShade="BF"/>
    </w:rPr>
  </w:style>
  <w:style w:type="character" w:styleId="IntenseReference">
    <w:name w:val="Intense Reference"/>
    <w:basedOn w:val="DefaultParagraphFont"/>
    <w:uiPriority w:val="32"/>
    <w:qFormat/>
    <w:rsid w:val="00B1078A"/>
    <w:rPr>
      <w:b/>
      <w:bCs/>
      <w:smallCaps/>
      <w:color w:val="0F4761" w:themeColor="accent1" w:themeShade="BF"/>
      <w:spacing w:val="5"/>
    </w:rPr>
  </w:style>
  <w:style w:type="character" w:styleId="FootnoteReference">
    <w:name w:val="footnote reference"/>
    <w:aliases w:val="o"/>
    <w:basedOn w:val="DefaultParagraphFont"/>
    <w:semiHidden/>
    <w:rsid w:val="00121074"/>
    <w:rPr>
      <w:vertAlign w:val="superscript"/>
    </w:rPr>
  </w:style>
  <w:style w:type="paragraph" w:styleId="FootnoteText">
    <w:name w:val="footnote text"/>
    <w:basedOn w:val="Normal"/>
    <w:link w:val="FootnoteTextChar"/>
    <w:uiPriority w:val="99"/>
    <w:unhideWhenUsed/>
    <w:rsid w:val="00121074"/>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121074"/>
    <w:rPr>
      <w:rFonts w:ascii="Times New Roman" w:eastAsia="Times New Roman" w:hAnsi="Times New Roman" w:cs="Times New Roman"/>
      <w:kern w:val="0"/>
      <w:sz w:val="20"/>
      <w:szCs w:val="20"/>
      <w14:ligatures w14:val="none"/>
    </w:rPr>
  </w:style>
  <w:style w:type="paragraph" w:customStyle="1" w:styleId="Style1">
    <w:name w:val="Style1"/>
    <w:basedOn w:val="Normal"/>
    <w:qFormat/>
    <w:rsid w:val="00121074"/>
    <w:pPr>
      <w:spacing w:before="100" w:after="0" w:line="240" w:lineRule="auto"/>
      <w:jc w:val="center"/>
    </w:pPr>
    <w:rPr>
      <w:rFonts w:ascii="Arial" w:eastAsia="Times New Roman" w:hAnsi="Arial" w:cs="Times New Roman"/>
      <w:spacing w:val="11"/>
      <w:kern w:val="0"/>
      <w:sz w:val="20"/>
      <w14:ligatures w14:val="none"/>
    </w:rPr>
  </w:style>
  <w:style w:type="paragraph" w:styleId="Footer">
    <w:name w:val="footer"/>
    <w:basedOn w:val="Normal"/>
    <w:link w:val="FooterChar"/>
    <w:uiPriority w:val="99"/>
    <w:unhideWhenUsed/>
    <w:rsid w:val="00381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FCF"/>
  </w:style>
  <w:style w:type="character" w:styleId="PageNumber">
    <w:name w:val="page number"/>
    <w:basedOn w:val="DefaultParagraphFont"/>
    <w:uiPriority w:val="99"/>
    <w:semiHidden/>
    <w:unhideWhenUsed/>
    <w:rsid w:val="00381FCF"/>
  </w:style>
  <w:style w:type="paragraph" w:styleId="Header">
    <w:name w:val="header"/>
    <w:basedOn w:val="Normal"/>
    <w:link w:val="HeaderChar"/>
    <w:uiPriority w:val="99"/>
    <w:unhideWhenUsed/>
    <w:rsid w:val="00965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0DCD48A7FCC408DC1127391EAAA44" ma:contentTypeVersion="16" ma:contentTypeDescription="Create a new document." ma:contentTypeScope="" ma:versionID="f4f138a7e4d7c217f775531f16d3f2b5">
  <xsd:schema xmlns:xsd="http://www.w3.org/2001/XMLSchema" xmlns:xs="http://www.w3.org/2001/XMLSchema" xmlns:p="http://schemas.microsoft.com/office/2006/metadata/properties" xmlns:ns2="1c4d59ec-3ca7-45ae-8048-ac80299584db" xmlns:ns3="5e207819-3fdd-4ee3-a2f3-ad4d7cb83613" targetNamespace="http://schemas.microsoft.com/office/2006/metadata/properties" ma:root="true" ma:fieldsID="e0ec8269fc4aae4cabeff524c01b3ae4" ns2:_="" ns3:_="">
    <xsd:import namespace="1c4d59ec-3ca7-45ae-8048-ac80299584db"/>
    <xsd:import namespace="5e207819-3fdd-4ee3-a2f3-ad4d7cb836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Henr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d59ec-3ca7-45ae-8048-ac8029958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174cf4-8bc1-4249-b783-7da8288d63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Henrik" ma:index="23" nillable="true" ma:displayName="Henrik" ma:format="Dropdown" ma:list="UserInfo" ma:SharePointGroup="0" ma:internalName="Henr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207819-3fdd-4ee3-a2f3-ad4d7cb83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50a7f2-253e-4017-9dce-cdccf0295658}" ma:internalName="TaxCatchAll" ma:showField="CatchAllData" ma:web="5e207819-3fdd-4ee3-a2f3-ad4d7cb8361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enrik xmlns="1c4d59ec-3ca7-45ae-8048-ac80299584db">
      <UserInfo>
        <DisplayName/>
        <AccountId xsi:nil="true"/>
        <AccountType/>
      </UserInfo>
    </Henrik>
    <lcf76f155ced4ddcb4097134ff3c332f xmlns="1c4d59ec-3ca7-45ae-8048-ac80299584db">
      <Terms xmlns="http://schemas.microsoft.com/office/infopath/2007/PartnerControls"/>
    </lcf76f155ced4ddcb4097134ff3c332f>
    <TaxCatchAll xmlns="5e207819-3fdd-4ee3-a2f3-ad4d7cb83613"/>
  </documentManagement>
</p:properties>
</file>

<file path=customXml/itemProps1.xml><?xml version="1.0" encoding="utf-8"?>
<ds:datastoreItem xmlns:ds="http://schemas.openxmlformats.org/officeDocument/2006/customXml" ds:itemID="{5D369C6B-3E28-438E-B349-33A7FF981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d59ec-3ca7-45ae-8048-ac80299584db"/>
    <ds:schemaRef ds:uri="5e207819-3fdd-4ee3-a2f3-ad4d7cb83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2EC1B-28F0-4D93-AC3E-54CC72EDD8EF}">
  <ds:schemaRefs>
    <ds:schemaRef ds:uri="http://schemas.microsoft.com/sharepoint/v3/contenttype/forms"/>
  </ds:schemaRefs>
</ds:datastoreItem>
</file>

<file path=customXml/itemProps3.xml><?xml version="1.0" encoding="utf-8"?>
<ds:datastoreItem xmlns:ds="http://schemas.openxmlformats.org/officeDocument/2006/customXml" ds:itemID="{E783BDEE-D3C8-45B5-99BF-7583140F6991}">
  <ds:schemaRefs>
    <ds:schemaRef ds:uri="http://purl.org/dc/elements/1.1/"/>
    <ds:schemaRef ds:uri="http://schemas.openxmlformats.org/package/2006/metadata/core-properties"/>
    <ds:schemaRef ds:uri="5e207819-3fdd-4ee3-a2f3-ad4d7cb83613"/>
    <ds:schemaRef ds:uri="http://schemas.microsoft.com/office/infopath/2007/PartnerControls"/>
    <ds:schemaRef ds:uri="1c4d59ec-3ca7-45ae-8048-ac80299584db"/>
    <ds:schemaRef ds:uri="http://schemas.microsoft.com/office/2006/documentManagement/types"/>
    <ds:schemaRef ds:uri="http://purl.org/dc/dcmitype/"/>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Freedman</dc:creator>
  <cp:keywords/>
  <dc:description/>
  <cp:lastModifiedBy>Henrik Nilsson</cp:lastModifiedBy>
  <cp:revision>2</cp:revision>
  <dcterms:created xsi:type="dcterms:W3CDTF">2025-04-27T02:52:00Z</dcterms:created>
  <dcterms:modified xsi:type="dcterms:W3CDTF">2025-04-27T02:52:00Z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0x0101000C90DCD48A7FCC408DC1127391EAAA44</vt:lpwstr>
  </property>
</Properties>
</file>