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AD86" w14:textId="77777777" w:rsidR="00055190" w:rsidRDefault="00055190" w:rsidP="00994F63">
      <w:pPr>
        <w:pStyle w:val="Title"/>
        <w:rPr>
          <w:b w:val="0"/>
          <w:sz w:val="28"/>
          <w:szCs w:val="20"/>
        </w:rPr>
      </w:pPr>
      <w:r>
        <w:rPr>
          <w:b w:val="0"/>
          <w:sz w:val="28"/>
          <w:szCs w:val="20"/>
        </w:rPr>
        <w:t>TWG</w:t>
      </w:r>
    </w:p>
    <w:p w14:paraId="6FD99F03" w14:textId="18BE2204" w:rsidR="00641DC0" w:rsidRPr="00462F56" w:rsidRDefault="0051178D" w:rsidP="00994F63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executive summary for </w:t>
      </w:r>
      <w:r w:rsidR="00863089">
        <w:rPr>
          <w:sz w:val="26"/>
          <w:szCs w:val="26"/>
        </w:rPr>
        <w:t>MOPC</w:t>
      </w:r>
    </w:p>
    <w:p w14:paraId="2F5FB8B8" w14:textId="3A3A29DA" w:rsidR="00726522" w:rsidRDefault="00726522" w:rsidP="00A4350F"/>
    <w:p w14:paraId="33F37FB6" w14:textId="32AC1D97" w:rsidR="000D320D" w:rsidRPr="0063306B" w:rsidRDefault="00055190" w:rsidP="0063306B">
      <w:pPr>
        <w:ind w:left="-450"/>
        <w:jc w:val="center"/>
        <w:rPr>
          <w:b/>
          <w:szCs w:val="20"/>
        </w:rPr>
      </w:pPr>
      <w:r>
        <w:rPr>
          <w:b/>
          <w:sz w:val="28"/>
          <w:szCs w:val="20"/>
        </w:rPr>
        <w:t>2025 ITP Scope Changes</w:t>
      </w:r>
    </w:p>
    <w:p w14:paraId="233E5294" w14:textId="5C030954" w:rsidR="000D320D" w:rsidRDefault="0063306B" w:rsidP="0063306B">
      <w:pPr>
        <w:ind w:left="-450"/>
        <w:rPr>
          <w:rFonts w:cs="Segoe UI"/>
        </w:rPr>
      </w:pPr>
      <w:r>
        <w:rPr>
          <w:rFonts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Segoe UI"/>
        </w:rPr>
        <w:instrText xml:space="preserve"> FORMCHECKBOX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</w:rPr>
        <w:fldChar w:fldCharType="end"/>
      </w:r>
      <w:r>
        <w:rPr>
          <w:rFonts w:cs="Segoe UI"/>
        </w:rPr>
        <w:t xml:space="preserve"> For </w:t>
      </w:r>
      <w:r w:rsidR="00863089">
        <w:rPr>
          <w:rFonts w:cs="Segoe UI"/>
        </w:rPr>
        <w:t>MOPC</w:t>
      </w:r>
      <w:r>
        <w:rPr>
          <w:rFonts w:cs="Segoe UI"/>
        </w:rPr>
        <w:t xml:space="preserve"> consent agenda</w:t>
      </w:r>
    </w:p>
    <w:p w14:paraId="382B97DB" w14:textId="417FC315" w:rsidR="00B22A47" w:rsidRDefault="00055190" w:rsidP="0063306B">
      <w:pPr>
        <w:ind w:left="-450"/>
        <w:rPr>
          <w:rFonts w:cs="Segoe UI"/>
        </w:rPr>
      </w:pPr>
      <w:r>
        <w:rPr>
          <w:rFonts w:cs="Segoe U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Segoe UI"/>
        </w:rPr>
        <w:instrText xml:space="preserve"> FORMCHECKBOX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</w:rPr>
        <w:fldChar w:fldCharType="end"/>
      </w:r>
      <w:r w:rsidR="00B22A47">
        <w:rPr>
          <w:rFonts w:cs="Segoe UI"/>
        </w:rPr>
        <w:t xml:space="preserve"> For </w:t>
      </w:r>
      <w:r w:rsidR="00863089">
        <w:rPr>
          <w:rFonts w:cs="Segoe UI"/>
        </w:rPr>
        <w:t>MOPC</w:t>
      </w:r>
      <w:r w:rsidR="00B22A47">
        <w:rPr>
          <w:rFonts w:cs="Segoe UI"/>
        </w:rPr>
        <w:t xml:space="preserve"> discussion and vote</w:t>
      </w:r>
    </w:p>
    <w:p w14:paraId="183753C7" w14:textId="293E18FE" w:rsidR="008C3753" w:rsidRDefault="00C94D25" w:rsidP="008C3753">
      <w:pPr>
        <w:ind w:left="-450"/>
        <w:rPr>
          <w:rFonts w:cs="Segoe UI"/>
        </w:rPr>
      </w:pPr>
      <w:r>
        <w:rPr>
          <w:rFonts w:cs="Segoe U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Segoe UI"/>
        </w:rPr>
        <w:instrText xml:space="preserve"> FORMCHECKBOX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</w:rPr>
        <w:fldChar w:fldCharType="end"/>
      </w:r>
      <w:r w:rsidR="008C3753">
        <w:rPr>
          <w:rFonts w:cs="Segoe UI"/>
        </w:rPr>
        <w:t xml:space="preserve"> Additional material is included in the </w:t>
      </w:r>
      <w:r w:rsidR="00863089">
        <w:rPr>
          <w:rFonts w:cs="Segoe UI"/>
        </w:rPr>
        <w:t>packet</w:t>
      </w:r>
    </w:p>
    <w:p w14:paraId="0A048E51" w14:textId="0501FF6C" w:rsidR="00055190" w:rsidRDefault="00AA1937" w:rsidP="0063306B">
      <w:pPr>
        <w:ind w:left="-450"/>
        <w:rPr>
          <w:sz w:val="20"/>
          <w:szCs w:val="20"/>
        </w:rPr>
      </w:pPr>
      <w:r>
        <w:rPr>
          <w:sz w:val="20"/>
          <w:szCs w:val="20"/>
        </w:rPr>
        <w:t>2025 ITP Assessment Scope_v5.0_draft (</w:t>
      </w:r>
      <w:r w:rsidR="00F7755A">
        <w:rPr>
          <w:sz w:val="20"/>
          <w:szCs w:val="20"/>
        </w:rPr>
        <w:t>31 pages)</w:t>
      </w:r>
    </w:p>
    <w:p w14:paraId="18DAB1BD" w14:textId="334AB910" w:rsidR="00F7755A" w:rsidRDefault="00521C78" w:rsidP="0063306B">
      <w:pPr>
        <w:ind w:left="-450"/>
        <w:rPr>
          <w:sz w:val="20"/>
          <w:szCs w:val="20"/>
        </w:rPr>
      </w:pPr>
      <w:r>
        <w:rPr>
          <w:sz w:val="20"/>
          <w:szCs w:val="20"/>
        </w:rPr>
        <w:t>2025 ITP Scope Changes PowerPoint presentation (18 slides)</w:t>
      </w:r>
    </w:p>
    <w:p w14:paraId="7BBD1FDE" w14:textId="5D6BC229" w:rsidR="002B0E77" w:rsidRPr="002B0E77" w:rsidRDefault="002B0E77" w:rsidP="0063306B">
      <w:pPr>
        <w:ind w:left="-450"/>
        <w:rPr>
          <w:b/>
          <w:color w:val="2399BB" w:themeColor="accent2"/>
          <w:szCs w:val="20"/>
        </w:rPr>
      </w:pPr>
      <w:r w:rsidRPr="002B0E77">
        <w:rPr>
          <w:b/>
          <w:color w:val="2399BB" w:themeColor="accent2"/>
          <w:szCs w:val="20"/>
        </w:rPr>
        <w:t>Essential points &amp; primary issues for the board’s consideration:</w:t>
      </w:r>
    </w:p>
    <w:p w14:paraId="3ADEAF0E" w14:textId="09A1B450" w:rsidR="002B0E77" w:rsidRDefault="002B0E77" w:rsidP="0063306B">
      <w:pPr>
        <w:ind w:left="-450"/>
        <w:rPr>
          <w:b/>
          <w:szCs w:val="20"/>
        </w:rPr>
      </w:pPr>
      <w:r w:rsidRPr="002B0E77">
        <w:rPr>
          <w:b/>
          <w:color w:val="2399BB" w:themeColor="accent2"/>
          <w:szCs w:val="20"/>
        </w:rPr>
        <w:t>1.</w:t>
      </w:r>
      <w:r w:rsidRPr="002B0E77">
        <w:rPr>
          <w:color w:val="2399BB" w:themeColor="accent2"/>
          <w:sz w:val="20"/>
          <w:szCs w:val="20"/>
        </w:rPr>
        <w:t xml:space="preserve"> </w:t>
      </w:r>
      <w:r w:rsidR="00090509" w:rsidRPr="001472BA">
        <w:rPr>
          <w:szCs w:val="20"/>
        </w:rPr>
        <w:t xml:space="preserve">Aside from Resiliency Staging, the modifications to the 2025 ITP Scope are </w:t>
      </w:r>
      <w:r w:rsidR="00D34E82">
        <w:rPr>
          <w:szCs w:val="20"/>
        </w:rPr>
        <w:t>widely</w:t>
      </w:r>
      <w:r w:rsidR="00090509" w:rsidRPr="001472BA">
        <w:rPr>
          <w:szCs w:val="20"/>
        </w:rPr>
        <w:t xml:space="preserve"> accepted and serve primarily to clarify existing language.</w:t>
      </w:r>
      <w:r w:rsidR="00BA757F" w:rsidRPr="00BA757F">
        <w:rPr>
          <w:sz w:val="20"/>
          <w:szCs w:val="20"/>
        </w:rPr>
        <w:t xml:space="preserve"> </w:t>
      </w:r>
    </w:p>
    <w:p w14:paraId="1FBBFCB9" w14:textId="1C5563A9" w:rsidR="00BA757F" w:rsidRDefault="002B0E77" w:rsidP="00325E53">
      <w:pPr>
        <w:ind w:left="-450"/>
        <w:rPr>
          <w:sz w:val="20"/>
          <w:szCs w:val="20"/>
        </w:rPr>
      </w:pPr>
      <w:r w:rsidRPr="002B0E77">
        <w:rPr>
          <w:b/>
          <w:color w:val="2399BB" w:themeColor="accent2"/>
          <w:szCs w:val="20"/>
        </w:rPr>
        <w:t>2.</w:t>
      </w:r>
      <w:r w:rsidRPr="002B0E77">
        <w:rPr>
          <w:sz w:val="20"/>
          <w:szCs w:val="20"/>
        </w:rPr>
        <w:t xml:space="preserve"> </w:t>
      </w:r>
      <w:r w:rsidR="00FE1425" w:rsidRPr="001472BA">
        <w:rPr>
          <w:szCs w:val="20"/>
        </w:rPr>
        <w:t>An underlying issue with Resiliency Staging is that projects eligible as Short-Term Reliability Projects</w:t>
      </w:r>
      <w:r w:rsidR="00625A6A" w:rsidRPr="001472BA">
        <w:rPr>
          <w:szCs w:val="20"/>
        </w:rPr>
        <w:t xml:space="preserve"> (STRPs)</w:t>
      </w:r>
      <w:r w:rsidR="00FE1425" w:rsidRPr="001472BA">
        <w:rPr>
          <w:szCs w:val="20"/>
        </w:rPr>
        <w:t xml:space="preserve"> are not subject to the FERC Order 1000 competitive process.</w:t>
      </w:r>
    </w:p>
    <w:p w14:paraId="6E2A0073" w14:textId="0AE34E19" w:rsidR="00325E53" w:rsidRDefault="00625A6A" w:rsidP="00325E53">
      <w:pPr>
        <w:ind w:left="-450"/>
        <w:rPr>
          <w:sz w:val="20"/>
          <w:szCs w:val="20"/>
        </w:rPr>
      </w:pPr>
      <w:r>
        <w:rPr>
          <w:b/>
          <w:color w:val="2399BB" w:themeColor="accent2"/>
          <w:szCs w:val="20"/>
        </w:rPr>
        <w:t>3</w:t>
      </w:r>
      <w:r w:rsidRPr="002B0E77">
        <w:rPr>
          <w:b/>
          <w:color w:val="2399BB" w:themeColor="accent2"/>
          <w:szCs w:val="20"/>
        </w:rPr>
        <w:t>.</w:t>
      </w:r>
      <w:r w:rsidRPr="002B0E77">
        <w:rPr>
          <w:sz w:val="20"/>
          <w:szCs w:val="20"/>
        </w:rPr>
        <w:t xml:space="preserve"> </w:t>
      </w:r>
      <w:r w:rsidRPr="001472BA">
        <w:rPr>
          <w:szCs w:val="20"/>
        </w:rPr>
        <w:t xml:space="preserve">TWG approved a methodology for staging Resiliency </w:t>
      </w:r>
      <w:r w:rsidR="00D34E82" w:rsidRPr="001472BA">
        <w:rPr>
          <w:szCs w:val="20"/>
        </w:rPr>
        <w:t>Projects,</w:t>
      </w:r>
      <w:r w:rsidRPr="001472BA">
        <w:rPr>
          <w:szCs w:val="20"/>
        </w:rPr>
        <w:t xml:space="preserve"> and it enables them to qualify as STRPs.</w:t>
      </w:r>
    </w:p>
    <w:p w14:paraId="41C869E5" w14:textId="77777777" w:rsidR="00625A6A" w:rsidRPr="00325E53" w:rsidRDefault="00625A6A" w:rsidP="00325E53">
      <w:pPr>
        <w:ind w:left="-450"/>
        <w:rPr>
          <w:b/>
          <w:szCs w:val="20"/>
        </w:rPr>
      </w:pPr>
    </w:p>
    <w:p w14:paraId="71B3F364" w14:textId="77777777" w:rsidR="00FE1425" w:rsidRDefault="0063306B" w:rsidP="00FE1425">
      <w:pPr>
        <w:ind w:left="-450"/>
        <w:rPr>
          <w:szCs w:val="20"/>
        </w:rPr>
      </w:pPr>
      <w:r w:rsidRPr="0063306B">
        <w:rPr>
          <w:b/>
          <w:szCs w:val="20"/>
        </w:rPr>
        <w:t>Background</w:t>
      </w:r>
      <w:r>
        <w:rPr>
          <w:b/>
          <w:szCs w:val="20"/>
        </w:rPr>
        <w:t xml:space="preserve"> &amp; </w:t>
      </w:r>
      <w:r w:rsidR="002B0E77">
        <w:rPr>
          <w:b/>
          <w:szCs w:val="20"/>
        </w:rPr>
        <w:t>d</w:t>
      </w:r>
      <w:r>
        <w:rPr>
          <w:b/>
          <w:szCs w:val="20"/>
        </w:rPr>
        <w:t>rivers</w:t>
      </w:r>
      <w:r w:rsidRPr="0063306B">
        <w:rPr>
          <w:szCs w:val="20"/>
        </w:rPr>
        <w:t xml:space="preserve">: </w:t>
      </w:r>
    </w:p>
    <w:p w14:paraId="5FCF1AF3" w14:textId="1F8D317A" w:rsidR="00FE1425" w:rsidRPr="00FE1425" w:rsidRDefault="00FE1425" w:rsidP="00FE1425">
      <w:pPr>
        <w:ind w:left="-450"/>
        <w:rPr>
          <w:szCs w:val="20"/>
        </w:rPr>
      </w:pPr>
      <w:r w:rsidRPr="00FE1425">
        <w:rPr>
          <w:szCs w:val="20"/>
        </w:rPr>
        <w:t>The Transmission Working Group (TWG) is seeking approval for the updated 2025 Integrated Transmission Planning (ITP) Scope language. The modifications focus on two primary categories:</w:t>
      </w:r>
    </w:p>
    <w:p w14:paraId="51F92D47" w14:textId="3D5CFD74" w:rsidR="00FE1425" w:rsidRPr="00FE1425" w:rsidRDefault="00625A6A" w:rsidP="00FE1425">
      <w:pPr>
        <w:pStyle w:val="ListParagraph"/>
        <w:numPr>
          <w:ilvl w:val="0"/>
          <w:numId w:val="13"/>
        </w:numPr>
        <w:rPr>
          <w:szCs w:val="20"/>
        </w:rPr>
      </w:pPr>
      <w:r>
        <w:rPr>
          <w:szCs w:val="20"/>
        </w:rPr>
        <w:t>Resiliency Language Updates</w:t>
      </w:r>
    </w:p>
    <w:p w14:paraId="549A5C36" w14:textId="5F28F68F" w:rsidR="00FE1425" w:rsidRPr="00FE1425" w:rsidRDefault="00FE1425" w:rsidP="00FE1425">
      <w:pPr>
        <w:pStyle w:val="ListParagraph"/>
        <w:numPr>
          <w:ilvl w:val="0"/>
          <w:numId w:val="13"/>
        </w:numPr>
        <w:rPr>
          <w:szCs w:val="20"/>
        </w:rPr>
      </w:pPr>
      <w:r w:rsidRPr="00FE1425">
        <w:rPr>
          <w:szCs w:val="20"/>
        </w:rPr>
        <w:t>Resiliency Project Staging</w:t>
      </w:r>
    </w:p>
    <w:p w14:paraId="40D078E1" w14:textId="637A7C85" w:rsidR="00FE1425" w:rsidRPr="00FE1425" w:rsidRDefault="000F1605" w:rsidP="00FE1425">
      <w:pPr>
        <w:ind w:left="-450"/>
        <w:rPr>
          <w:szCs w:val="20"/>
        </w:rPr>
      </w:pPr>
      <w:r>
        <w:rPr>
          <w:szCs w:val="20"/>
        </w:rPr>
        <w:t>P</w:t>
      </w:r>
      <w:r w:rsidR="00FE1425" w:rsidRPr="00FE1425">
        <w:rPr>
          <w:szCs w:val="20"/>
        </w:rPr>
        <w:t>roposed modifications</w:t>
      </w:r>
      <w:r w:rsidR="00D87F32">
        <w:rPr>
          <w:szCs w:val="20"/>
        </w:rPr>
        <w:t>, outlined below,</w:t>
      </w:r>
      <w:r w:rsidR="00FE1425" w:rsidRPr="00FE1425">
        <w:rPr>
          <w:szCs w:val="20"/>
        </w:rPr>
        <w:t xml:space="preserve"> </w:t>
      </w:r>
      <w:r>
        <w:rPr>
          <w:szCs w:val="20"/>
        </w:rPr>
        <w:t xml:space="preserve">to the 2025 ITP Scope </w:t>
      </w:r>
      <w:r w:rsidR="00FE1425" w:rsidRPr="00FE1425">
        <w:rPr>
          <w:szCs w:val="20"/>
        </w:rPr>
        <w:t>have received a high level of consensus from both the</w:t>
      </w:r>
      <w:r w:rsidR="00FE1425">
        <w:rPr>
          <w:szCs w:val="20"/>
        </w:rPr>
        <w:t xml:space="preserve"> </w:t>
      </w:r>
      <w:r w:rsidR="00FE1425" w:rsidRPr="00FE1425">
        <w:rPr>
          <w:szCs w:val="20"/>
        </w:rPr>
        <w:t>ESWG and TWG</w:t>
      </w:r>
      <w:r>
        <w:rPr>
          <w:szCs w:val="20"/>
        </w:rPr>
        <w:t xml:space="preserve"> with </w:t>
      </w:r>
      <w:r w:rsidRPr="00D87F32">
        <w:rPr>
          <w:i/>
          <w:iCs/>
          <w:szCs w:val="20"/>
        </w:rPr>
        <w:t>minimal</w:t>
      </w:r>
      <w:r>
        <w:rPr>
          <w:szCs w:val="20"/>
        </w:rPr>
        <w:t xml:space="preserve"> discussion</w:t>
      </w:r>
      <w:r w:rsidR="00FE1425" w:rsidRPr="00FE1425">
        <w:rPr>
          <w:szCs w:val="20"/>
        </w:rPr>
        <w:t>.</w:t>
      </w:r>
    </w:p>
    <w:p w14:paraId="1DCC211A" w14:textId="3967BE3F" w:rsidR="00FE1425" w:rsidRPr="00FE1425" w:rsidRDefault="00625A6A" w:rsidP="00FE1425">
      <w:pPr>
        <w:ind w:left="-90"/>
        <w:rPr>
          <w:szCs w:val="20"/>
          <w:u w:val="single"/>
        </w:rPr>
      </w:pPr>
      <w:r w:rsidRPr="00625A6A">
        <w:rPr>
          <w:szCs w:val="20"/>
          <w:u w:val="single"/>
        </w:rPr>
        <w:t>Resiliency Language Updates</w:t>
      </w:r>
      <w:r>
        <w:rPr>
          <w:szCs w:val="20"/>
          <w:u w:val="single"/>
        </w:rPr>
        <w:t xml:space="preserve"> </w:t>
      </w:r>
    </w:p>
    <w:p w14:paraId="1F9E0E15" w14:textId="230A51D1" w:rsidR="00FE1425" w:rsidRPr="00FE1425" w:rsidRDefault="00FE1425" w:rsidP="00FE1425">
      <w:pPr>
        <w:pStyle w:val="ListParagraph"/>
        <w:numPr>
          <w:ilvl w:val="0"/>
          <w:numId w:val="14"/>
        </w:numPr>
        <w:spacing w:after="0"/>
        <w:ind w:left="630"/>
        <w:rPr>
          <w:szCs w:val="20"/>
        </w:rPr>
      </w:pPr>
      <w:r w:rsidRPr="00FE1425">
        <w:rPr>
          <w:b/>
          <w:bCs/>
          <w:szCs w:val="20"/>
        </w:rPr>
        <w:t>Clarifications to RMEM Evaluation:</w:t>
      </w:r>
      <w:r w:rsidRPr="00FE1425">
        <w:rPr>
          <w:szCs w:val="20"/>
        </w:rPr>
        <w:t xml:space="preserve"> </w:t>
      </w:r>
      <w:r w:rsidR="00D87F32" w:rsidRPr="00D87F32">
        <w:rPr>
          <w:szCs w:val="20"/>
        </w:rPr>
        <w:t>Added a single month congestion score criteria for resiliency economic need identification</w:t>
      </w:r>
      <w:r w:rsidR="00D87F32">
        <w:rPr>
          <w:szCs w:val="20"/>
        </w:rPr>
        <w:t>.</w:t>
      </w:r>
    </w:p>
    <w:p w14:paraId="3FC82CDC" w14:textId="6D38E8CA" w:rsidR="00FE1425" w:rsidRPr="00FE1425" w:rsidRDefault="00FE1425" w:rsidP="00FE1425">
      <w:pPr>
        <w:pStyle w:val="ListParagraph"/>
        <w:numPr>
          <w:ilvl w:val="0"/>
          <w:numId w:val="14"/>
        </w:numPr>
        <w:spacing w:after="0"/>
        <w:ind w:left="630"/>
        <w:rPr>
          <w:szCs w:val="20"/>
        </w:rPr>
      </w:pPr>
      <w:r w:rsidRPr="00FE1425">
        <w:rPr>
          <w:b/>
          <w:bCs/>
          <w:szCs w:val="20"/>
        </w:rPr>
        <w:t>Transfer Assessments:</w:t>
      </w:r>
      <w:r w:rsidRPr="00FE1425">
        <w:rPr>
          <w:szCs w:val="20"/>
        </w:rPr>
        <w:t xml:space="preserve"> </w:t>
      </w:r>
      <w:r w:rsidR="00D87F32">
        <w:rPr>
          <w:szCs w:val="20"/>
        </w:rPr>
        <w:t xml:space="preserve">Specified </w:t>
      </w:r>
      <w:r w:rsidRPr="00FE1425">
        <w:rPr>
          <w:szCs w:val="20"/>
        </w:rPr>
        <w:t>for evaluating transfers into and out of the Loss of Load Expectation (LOLE) zone.</w:t>
      </w:r>
    </w:p>
    <w:p w14:paraId="785EC4CD" w14:textId="2B11C0C3" w:rsidR="00FE1425" w:rsidRPr="00FE1425" w:rsidRDefault="00FE1425" w:rsidP="00FE1425">
      <w:pPr>
        <w:pStyle w:val="ListParagraph"/>
        <w:numPr>
          <w:ilvl w:val="0"/>
          <w:numId w:val="14"/>
        </w:numPr>
        <w:spacing w:after="0"/>
        <w:ind w:left="630"/>
        <w:rPr>
          <w:szCs w:val="20"/>
        </w:rPr>
      </w:pPr>
      <w:r w:rsidRPr="00FE1425">
        <w:rPr>
          <w:b/>
          <w:bCs/>
          <w:szCs w:val="20"/>
        </w:rPr>
        <w:lastRenderedPageBreak/>
        <w:t>Resiliency Project Consolidation:</w:t>
      </w:r>
      <w:r w:rsidRPr="00FE1425">
        <w:rPr>
          <w:szCs w:val="20"/>
        </w:rPr>
        <w:t xml:space="preserve"> Defined methodology for </w:t>
      </w:r>
      <w:r w:rsidR="00D87F32">
        <w:rPr>
          <w:szCs w:val="20"/>
        </w:rPr>
        <w:t xml:space="preserve">incorporating </w:t>
      </w:r>
      <w:r w:rsidRPr="00FE1425">
        <w:rPr>
          <w:szCs w:val="20"/>
        </w:rPr>
        <w:t xml:space="preserve">resiliency projects </w:t>
      </w:r>
      <w:r w:rsidR="00D87F32">
        <w:rPr>
          <w:szCs w:val="20"/>
        </w:rPr>
        <w:t>into the final portfolio</w:t>
      </w:r>
      <w:r w:rsidRPr="00FE1425">
        <w:rPr>
          <w:szCs w:val="20"/>
        </w:rPr>
        <w:t>.</w:t>
      </w:r>
    </w:p>
    <w:p w14:paraId="2CD07675" w14:textId="71696616" w:rsidR="00FE1425" w:rsidRPr="00FE1425" w:rsidRDefault="00FE1425" w:rsidP="00FE1425">
      <w:pPr>
        <w:pStyle w:val="ListParagraph"/>
        <w:numPr>
          <w:ilvl w:val="0"/>
          <w:numId w:val="14"/>
        </w:numPr>
        <w:spacing w:after="0"/>
        <w:ind w:left="630"/>
        <w:rPr>
          <w:szCs w:val="20"/>
        </w:rPr>
      </w:pPr>
      <w:r w:rsidRPr="00FE1425">
        <w:rPr>
          <w:b/>
          <w:bCs/>
          <w:szCs w:val="20"/>
        </w:rPr>
        <w:t>Updated Project Evaluation Guidelines:</w:t>
      </w:r>
      <w:r w:rsidRPr="00FE1425">
        <w:rPr>
          <w:szCs w:val="20"/>
        </w:rPr>
        <w:t xml:space="preserve"> Clearly specifies which projects will be assessed in </w:t>
      </w:r>
      <w:r w:rsidR="00D87F32">
        <w:rPr>
          <w:szCs w:val="20"/>
        </w:rPr>
        <w:t>which</w:t>
      </w:r>
      <w:r w:rsidRPr="00FE1425">
        <w:rPr>
          <w:szCs w:val="20"/>
        </w:rPr>
        <w:t xml:space="preserve"> models.</w:t>
      </w:r>
    </w:p>
    <w:p w14:paraId="16F0735C" w14:textId="36132AD9" w:rsidR="00FE1425" w:rsidRPr="00FE1425" w:rsidRDefault="00FE1425" w:rsidP="00FE1425">
      <w:pPr>
        <w:pStyle w:val="ListParagraph"/>
        <w:numPr>
          <w:ilvl w:val="0"/>
          <w:numId w:val="14"/>
        </w:numPr>
        <w:spacing w:after="0"/>
        <w:ind w:left="630"/>
        <w:rPr>
          <w:szCs w:val="20"/>
        </w:rPr>
      </w:pPr>
      <w:r w:rsidRPr="00FE1425">
        <w:rPr>
          <w:b/>
          <w:bCs/>
          <w:szCs w:val="20"/>
        </w:rPr>
        <w:t>Generator Planning Value Language:</w:t>
      </w:r>
      <w:r w:rsidRPr="00FE1425">
        <w:rPr>
          <w:szCs w:val="20"/>
        </w:rPr>
        <w:t xml:space="preserve"> Removed prescriptive language around </w:t>
      </w:r>
      <w:r w:rsidR="00D87F32">
        <w:rPr>
          <w:szCs w:val="20"/>
        </w:rPr>
        <w:t>“Generator Planning Value”</w:t>
      </w:r>
      <w:r w:rsidRPr="00FE1425">
        <w:rPr>
          <w:szCs w:val="20"/>
        </w:rPr>
        <w:t xml:space="preserve"> </w:t>
      </w:r>
      <w:r w:rsidR="00D87F32">
        <w:rPr>
          <w:szCs w:val="20"/>
        </w:rPr>
        <w:t>for</w:t>
      </w:r>
      <w:r w:rsidRPr="00FE1425">
        <w:rPr>
          <w:szCs w:val="20"/>
        </w:rPr>
        <w:t xml:space="preserve"> RMEM models.</w:t>
      </w:r>
    </w:p>
    <w:p w14:paraId="21865EF3" w14:textId="136C4297" w:rsidR="00FE1425" w:rsidRPr="00FE1425" w:rsidRDefault="00FE1425" w:rsidP="00FE1425">
      <w:pPr>
        <w:pStyle w:val="ListParagraph"/>
        <w:numPr>
          <w:ilvl w:val="0"/>
          <w:numId w:val="14"/>
        </w:numPr>
        <w:spacing w:after="0"/>
        <w:ind w:left="630"/>
        <w:rPr>
          <w:szCs w:val="20"/>
        </w:rPr>
      </w:pPr>
      <w:r w:rsidRPr="00FE1425">
        <w:rPr>
          <w:b/>
          <w:bCs/>
          <w:szCs w:val="20"/>
        </w:rPr>
        <w:t>Verbiage Adjustments</w:t>
      </w:r>
      <w:r w:rsidRPr="00FE1425">
        <w:rPr>
          <w:szCs w:val="20"/>
        </w:rPr>
        <w:t xml:space="preserve">: </w:t>
      </w:r>
      <w:r w:rsidR="00D87F32">
        <w:rPr>
          <w:szCs w:val="20"/>
        </w:rPr>
        <w:t xml:space="preserve">Resiliency </w:t>
      </w:r>
      <w:r w:rsidRPr="00FE1425">
        <w:rPr>
          <w:szCs w:val="20"/>
        </w:rPr>
        <w:t>Market Powerflow Models ha</w:t>
      </w:r>
      <w:r>
        <w:rPr>
          <w:szCs w:val="20"/>
        </w:rPr>
        <w:t>s</w:t>
      </w:r>
      <w:r w:rsidRPr="00FE1425">
        <w:rPr>
          <w:szCs w:val="20"/>
        </w:rPr>
        <w:t xml:space="preserve"> been </w:t>
      </w:r>
      <w:r>
        <w:rPr>
          <w:szCs w:val="20"/>
        </w:rPr>
        <w:t>updated</w:t>
      </w:r>
      <w:r w:rsidRPr="00FE1425">
        <w:rPr>
          <w:szCs w:val="20"/>
        </w:rPr>
        <w:t xml:space="preserve"> </w:t>
      </w:r>
      <w:r>
        <w:rPr>
          <w:szCs w:val="20"/>
        </w:rPr>
        <w:t>to</w:t>
      </w:r>
      <w:r w:rsidRPr="00FE1425">
        <w:rPr>
          <w:szCs w:val="20"/>
        </w:rPr>
        <w:t xml:space="preserve"> Resiliency Powerflow Models.</w:t>
      </w:r>
    </w:p>
    <w:p w14:paraId="3AF5518A" w14:textId="77777777" w:rsidR="00FE1425" w:rsidRPr="00FE1425" w:rsidRDefault="00FE1425" w:rsidP="00FE1425">
      <w:pPr>
        <w:ind w:left="-450"/>
        <w:rPr>
          <w:szCs w:val="20"/>
        </w:rPr>
      </w:pPr>
    </w:p>
    <w:p w14:paraId="60D03586" w14:textId="740B4985" w:rsidR="000F1605" w:rsidRDefault="000F1605" w:rsidP="000F1605">
      <w:pPr>
        <w:ind w:left="-450"/>
        <w:rPr>
          <w:szCs w:val="20"/>
        </w:rPr>
      </w:pPr>
      <w:r>
        <w:rPr>
          <w:szCs w:val="20"/>
        </w:rPr>
        <w:t>P</w:t>
      </w:r>
      <w:r w:rsidRPr="00FE1425">
        <w:rPr>
          <w:szCs w:val="20"/>
        </w:rPr>
        <w:t xml:space="preserve">roposed modifications </w:t>
      </w:r>
      <w:r>
        <w:rPr>
          <w:szCs w:val="20"/>
        </w:rPr>
        <w:t xml:space="preserve">to the Resiliency Project Staging within 2025 ITP Scope </w:t>
      </w:r>
      <w:r w:rsidRPr="00FE1425">
        <w:rPr>
          <w:szCs w:val="20"/>
        </w:rPr>
        <w:t>have received a high level of consensus from both the</w:t>
      </w:r>
      <w:r>
        <w:rPr>
          <w:szCs w:val="20"/>
        </w:rPr>
        <w:t xml:space="preserve"> </w:t>
      </w:r>
      <w:r w:rsidRPr="00FE1425">
        <w:rPr>
          <w:szCs w:val="20"/>
        </w:rPr>
        <w:t>ESWG and TWG</w:t>
      </w:r>
      <w:r>
        <w:rPr>
          <w:szCs w:val="20"/>
        </w:rPr>
        <w:t xml:space="preserve">, but required </w:t>
      </w:r>
      <w:r w:rsidRPr="00D87F32">
        <w:rPr>
          <w:i/>
          <w:iCs/>
          <w:szCs w:val="20"/>
        </w:rPr>
        <w:t>significant</w:t>
      </w:r>
      <w:r>
        <w:rPr>
          <w:szCs w:val="20"/>
        </w:rPr>
        <w:t xml:space="preserve"> discussion</w:t>
      </w:r>
      <w:r w:rsidRPr="00FE1425">
        <w:rPr>
          <w:szCs w:val="20"/>
        </w:rPr>
        <w:t>.</w:t>
      </w:r>
    </w:p>
    <w:p w14:paraId="7045FCFD" w14:textId="37AC1C8E" w:rsidR="00FE1425" w:rsidRPr="000F1605" w:rsidRDefault="00FE1425" w:rsidP="000F1605">
      <w:pPr>
        <w:rPr>
          <w:szCs w:val="20"/>
          <w:u w:val="single"/>
        </w:rPr>
      </w:pPr>
      <w:r w:rsidRPr="000F1605">
        <w:rPr>
          <w:szCs w:val="20"/>
          <w:u w:val="single"/>
        </w:rPr>
        <w:t>Resiliency Project Staging</w:t>
      </w:r>
    </w:p>
    <w:p w14:paraId="175BEF69" w14:textId="1F6CBAB2" w:rsidR="000F1605" w:rsidRDefault="00FE1425" w:rsidP="000F1605">
      <w:pPr>
        <w:rPr>
          <w:szCs w:val="20"/>
        </w:rPr>
      </w:pPr>
      <w:r w:rsidRPr="00FE1425">
        <w:rPr>
          <w:szCs w:val="20"/>
        </w:rPr>
        <w:t xml:space="preserve">Projects addressing resiliency </w:t>
      </w:r>
      <w:r w:rsidR="00330895">
        <w:rPr>
          <w:szCs w:val="20"/>
        </w:rPr>
        <w:t>as well as</w:t>
      </w:r>
      <w:r w:rsidRPr="00FE1425">
        <w:rPr>
          <w:szCs w:val="20"/>
        </w:rPr>
        <w:t xml:space="preserve"> economic, reliability, policy, or operational needs will be staged based on the earliest need date identified.</w:t>
      </w:r>
      <w:r w:rsidR="000F1605">
        <w:rPr>
          <w:szCs w:val="20"/>
        </w:rPr>
        <w:t xml:space="preserve"> </w:t>
      </w:r>
      <w:r w:rsidRPr="00FE1425">
        <w:rPr>
          <w:szCs w:val="20"/>
        </w:rPr>
        <w:t>Resiliency-only projects will be staged based on need as determined by model extrapolation and interpolation methodologies.</w:t>
      </w:r>
      <w:r w:rsidR="000F1605">
        <w:rPr>
          <w:szCs w:val="20"/>
        </w:rPr>
        <w:t xml:space="preserve"> </w:t>
      </w:r>
    </w:p>
    <w:p w14:paraId="338F0B34" w14:textId="77777777" w:rsidR="000F1605" w:rsidRPr="000F1605" w:rsidRDefault="00FE1425" w:rsidP="000F1605">
      <w:pPr>
        <w:pStyle w:val="ListParagraph"/>
        <w:numPr>
          <w:ilvl w:val="0"/>
          <w:numId w:val="15"/>
        </w:numPr>
        <w:spacing w:after="0"/>
        <w:rPr>
          <w:szCs w:val="20"/>
        </w:rPr>
      </w:pPr>
      <w:r w:rsidRPr="000F1605">
        <w:rPr>
          <w:szCs w:val="20"/>
        </w:rPr>
        <w:t>Extrapolation may set need dates before Year 5.</w:t>
      </w:r>
      <w:r w:rsidR="000F1605" w:rsidRPr="000F1605">
        <w:rPr>
          <w:szCs w:val="20"/>
        </w:rPr>
        <w:t xml:space="preserve"> </w:t>
      </w:r>
    </w:p>
    <w:p w14:paraId="4C133E41" w14:textId="77777777" w:rsidR="000F1605" w:rsidRDefault="00FE1425" w:rsidP="000F1605">
      <w:pPr>
        <w:pStyle w:val="ListParagraph"/>
        <w:numPr>
          <w:ilvl w:val="0"/>
          <w:numId w:val="15"/>
        </w:numPr>
        <w:spacing w:after="0"/>
        <w:rPr>
          <w:szCs w:val="20"/>
        </w:rPr>
      </w:pPr>
      <w:r w:rsidRPr="000F1605">
        <w:rPr>
          <w:szCs w:val="20"/>
        </w:rPr>
        <w:t>Interpolation may set staging between Year 5 and Year 10.</w:t>
      </w:r>
      <w:r w:rsidR="000F1605" w:rsidRPr="000F1605">
        <w:rPr>
          <w:szCs w:val="20"/>
        </w:rPr>
        <w:t xml:space="preserve"> </w:t>
      </w:r>
    </w:p>
    <w:p w14:paraId="79646826" w14:textId="77777777" w:rsidR="000F1605" w:rsidRPr="000F1605" w:rsidRDefault="000F1605" w:rsidP="000F1605">
      <w:pPr>
        <w:pStyle w:val="ListParagraph"/>
        <w:numPr>
          <w:ilvl w:val="0"/>
          <w:numId w:val="0"/>
        </w:numPr>
        <w:spacing w:after="0"/>
        <w:ind w:left="720"/>
        <w:rPr>
          <w:szCs w:val="20"/>
        </w:rPr>
      </w:pPr>
    </w:p>
    <w:p w14:paraId="7EF75C3E" w14:textId="11AD9AAB" w:rsidR="0063306B" w:rsidRDefault="00FE1425" w:rsidP="000F1605">
      <w:pPr>
        <w:rPr>
          <w:szCs w:val="20"/>
        </w:rPr>
      </w:pPr>
      <w:r w:rsidRPr="00FE1425">
        <w:rPr>
          <w:szCs w:val="20"/>
        </w:rPr>
        <w:t>Multi-variable projects that meet multiple criteria will follow the earliest identified need date, ensuring consistency with economic and reliability project staging.</w:t>
      </w:r>
    </w:p>
    <w:p w14:paraId="7F3763F1" w14:textId="77777777" w:rsidR="00325E53" w:rsidRDefault="0063306B" w:rsidP="00325E53">
      <w:pPr>
        <w:ind w:left="-450"/>
        <w:rPr>
          <w:sz w:val="20"/>
          <w:szCs w:val="20"/>
        </w:rPr>
      </w:pPr>
      <w:r w:rsidRPr="0063306B">
        <w:rPr>
          <w:b/>
          <w:szCs w:val="20"/>
        </w:rPr>
        <w:t>Strategic implications</w:t>
      </w:r>
      <w:r>
        <w:rPr>
          <w:szCs w:val="20"/>
        </w:rPr>
        <w:t xml:space="preserve">: </w:t>
      </w:r>
    </w:p>
    <w:p w14:paraId="39FE37B6" w14:textId="4B044E29" w:rsidR="00325E53" w:rsidRPr="00325E53" w:rsidRDefault="00BA757F" w:rsidP="00325E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330895">
        <w:rPr>
          <w:b/>
          <w:bCs/>
          <w:szCs w:val="20"/>
        </w:rPr>
        <w:t>Short-Term Implications:</w:t>
      </w:r>
      <w:r w:rsidRPr="00325E53">
        <w:rPr>
          <w:sz w:val="20"/>
          <w:szCs w:val="20"/>
        </w:rPr>
        <w:t xml:space="preserve"> </w:t>
      </w:r>
      <w:r w:rsidRPr="00330895">
        <w:rPr>
          <w:szCs w:val="20"/>
        </w:rPr>
        <w:t>Immediate refinement of project staging methodology, leading to better-defined criteria for resiliency projects.</w:t>
      </w:r>
    </w:p>
    <w:p w14:paraId="6D5AEC46" w14:textId="5C60322A" w:rsidR="0063306B" w:rsidRDefault="0063306B" w:rsidP="0063306B">
      <w:pPr>
        <w:ind w:left="-450"/>
        <w:rPr>
          <w:sz w:val="20"/>
          <w:szCs w:val="20"/>
        </w:rPr>
      </w:pPr>
      <w:r w:rsidRPr="0063306B">
        <w:rPr>
          <w:b/>
          <w:szCs w:val="20"/>
        </w:rPr>
        <w:t>Major stakeholder discussion points</w:t>
      </w:r>
      <w:r>
        <w:rPr>
          <w:szCs w:val="20"/>
        </w:rPr>
        <w:t xml:space="preserve">: </w:t>
      </w:r>
    </w:p>
    <w:p w14:paraId="20BD686B" w14:textId="20DEC7AE" w:rsidR="00325E53" w:rsidRPr="00330895" w:rsidRDefault="00325E53" w:rsidP="00325E53">
      <w:pPr>
        <w:pStyle w:val="ListParagraph"/>
        <w:numPr>
          <w:ilvl w:val="0"/>
          <w:numId w:val="16"/>
        </w:numPr>
        <w:rPr>
          <w:szCs w:val="20"/>
        </w:rPr>
      </w:pPr>
      <w:r w:rsidRPr="00330895">
        <w:rPr>
          <w:szCs w:val="20"/>
        </w:rPr>
        <w:t xml:space="preserve">Need for Clear Staging Criteria: Stakeholders agree on the importance of having clear, well-defined criteria for staging resiliency projects to ensure fairness and effectiveness in </w:t>
      </w:r>
      <w:r w:rsidR="00D34E82">
        <w:rPr>
          <w:szCs w:val="20"/>
        </w:rPr>
        <w:t>NTC issuance</w:t>
      </w:r>
      <w:r w:rsidRPr="00330895">
        <w:rPr>
          <w:szCs w:val="20"/>
        </w:rPr>
        <w:t>.</w:t>
      </w:r>
    </w:p>
    <w:p w14:paraId="1D5B9F06" w14:textId="08444353" w:rsidR="00325E53" w:rsidRPr="00330895" w:rsidRDefault="00325E53" w:rsidP="00325E53">
      <w:pPr>
        <w:pStyle w:val="ListParagraph"/>
        <w:numPr>
          <w:ilvl w:val="0"/>
          <w:numId w:val="16"/>
        </w:numPr>
        <w:rPr>
          <w:szCs w:val="20"/>
        </w:rPr>
      </w:pPr>
      <w:r w:rsidRPr="00330895">
        <w:rPr>
          <w:szCs w:val="20"/>
        </w:rPr>
        <w:t>Dating back to 2024 ITP, some assert the competitive process yields faster construction and lower costs to consumers. Others assert the necessitation of immediate project issuance to alleviate needs</w:t>
      </w:r>
      <w:r w:rsidR="00D34E82">
        <w:rPr>
          <w:szCs w:val="20"/>
        </w:rPr>
        <w:t xml:space="preserve"> projected to be</w:t>
      </w:r>
      <w:r w:rsidRPr="00330895">
        <w:rPr>
          <w:szCs w:val="20"/>
        </w:rPr>
        <w:t xml:space="preserve"> observed within three years. </w:t>
      </w:r>
    </w:p>
    <w:p w14:paraId="7D43C1C0" w14:textId="77777777" w:rsidR="00325E53" w:rsidRDefault="00325E53" w:rsidP="0063306B">
      <w:pPr>
        <w:ind w:left="-450"/>
        <w:rPr>
          <w:b/>
          <w:szCs w:val="20"/>
        </w:rPr>
      </w:pPr>
    </w:p>
    <w:p w14:paraId="0C8D6DE8" w14:textId="77777777" w:rsidR="00325E53" w:rsidRDefault="00325E53" w:rsidP="0063306B">
      <w:pPr>
        <w:ind w:left="-450"/>
        <w:rPr>
          <w:b/>
          <w:szCs w:val="20"/>
        </w:rPr>
      </w:pPr>
    </w:p>
    <w:p w14:paraId="1F61CAF8" w14:textId="77777777" w:rsidR="00325E53" w:rsidRDefault="00325E53" w:rsidP="0063306B">
      <w:pPr>
        <w:ind w:left="-450"/>
        <w:rPr>
          <w:b/>
          <w:szCs w:val="20"/>
        </w:rPr>
      </w:pPr>
    </w:p>
    <w:p w14:paraId="710B5DC8" w14:textId="77777777" w:rsidR="00325E53" w:rsidRDefault="00325E53" w:rsidP="0063306B">
      <w:pPr>
        <w:ind w:left="-450"/>
        <w:rPr>
          <w:b/>
          <w:szCs w:val="20"/>
        </w:rPr>
      </w:pPr>
    </w:p>
    <w:p w14:paraId="63D87F1D" w14:textId="77777777" w:rsidR="00325E53" w:rsidRDefault="00325E53" w:rsidP="0063306B">
      <w:pPr>
        <w:ind w:left="-450"/>
        <w:rPr>
          <w:b/>
          <w:szCs w:val="20"/>
        </w:rPr>
      </w:pPr>
    </w:p>
    <w:p w14:paraId="799934A3" w14:textId="77777777" w:rsidR="00325E53" w:rsidRDefault="00325E53" w:rsidP="0063306B">
      <w:pPr>
        <w:ind w:left="-450"/>
        <w:rPr>
          <w:b/>
          <w:szCs w:val="20"/>
        </w:rPr>
      </w:pPr>
    </w:p>
    <w:p w14:paraId="0B5F4CE2" w14:textId="039155E7" w:rsidR="0063306B" w:rsidRPr="0063306B" w:rsidRDefault="0063306B" w:rsidP="0063306B">
      <w:pPr>
        <w:ind w:left="-450"/>
        <w:rPr>
          <w:sz w:val="20"/>
          <w:szCs w:val="20"/>
        </w:rPr>
      </w:pPr>
      <w:r>
        <w:rPr>
          <w:b/>
          <w:szCs w:val="20"/>
        </w:rPr>
        <w:t>Voting history:</w:t>
      </w:r>
    </w:p>
    <w:tbl>
      <w:tblPr>
        <w:tblpPr w:leftFromText="187" w:rightFromText="187" w:vertAnchor="text" w:horzAnchor="page" w:tblpX="372" w:tblpY="-82"/>
        <w:tblW w:w="1143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0"/>
        <w:gridCol w:w="1170"/>
        <w:gridCol w:w="2250"/>
        <w:gridCol w:w="1260"/>
        <w:gridCol w:w="5860"/>
      </w:tblGrid>
      <w:tr w:rsidR="000D320D" w:rsidRPr="00CE7B73" w14:paraId="09F3D65D" w14:textId="77777777" w:rsidTr="00C12FDA">
        <w:trPr>
          <w:trHeight w:val="288"/>
        </w:trPr>
        <w:tc>
          <w:tcPr>
            <w:tcW w:w="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9CD5AF" w14:textId="77777777" w:rsidR="000D320D" w:rsidRPr="009466AF" w:rsidRDefault="000D320D" w:rsidP="00B22A47">
            <w:pPr>
              <w:pStyle w:val="ListParagraph"/>
              <w:numPr>
                <w:ilvl w:val="0"/>
                <w:numId w:val="0"/>
              </w:numPr>
              <w:ind w:left="-67"/>
              <w:rPr>
                <w:sz w:val="20"/>
                <w:szCs w:val="20"/>
              </w:rPr>
            </w:pPr>
            <w:r w:rsidRPr="009466AF"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36BE6FC5" w14:textId="77777777" w:rsidR="000D320D" w:rsidRPr="009466AF" w:rsidRDefault="000D320D" w:rsidP="00B22A47">
            <w:pPr>
              <w:rPr>
                <w:b/>
                <w:bCs/>
                <w:sz w:val="20"/>
                <w:szCs w:val="20"/>
              </w:rPr>
            </w:pPr>
            <w:r w:rsidRPr="009466AF">
              <w:rPr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42D2A033" w14:textId="77777777" w:rsidR="000D320D" w:rsidRPr="009466AF" w:rsidRDefault="000D320D" w:rsidP="00B22A47">
            <w:pPr>
              <w:ind w:left="83"/>
              <w:rPr>
                <w:b/>
                <w:bCs/>
                <w:sz w:val="20"/>
                <w:szCs w:val="20"/>
              </w:rPr>
            </w:pPr>
            <w:r w:rsidRPr="009466AF">
              <w:rPr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890E2" w14:textId="77777777" w:rsidR="000D320D" w:rsidRPr="009466AF" w:rsidRDefault="000D320D" w:rsidP="00B22A47">
            <w:pPr>
              <w:ind w:left="-59"/>
              <w:rPr>
                <w:sz w:val="20"/>
                <w:szCs w:val="20"/>
              </w:rPr>
            </w:pPr>
            <w:r w:rsidRPr="009466AF">
              <w:rPr>
                <w:b/>
                <w:bCs/>
                <w:sz w:val="20"/>
                <w:szCs w:val="20"/>
              </w:rPr>
              <w:t>Consensus</w:t>
            </w:r>
          </w:p>
        </w:tc>
        <w:tc>
          <w:tcPr>
            <w:tcW w:w="5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51BAE519" w14:textId="77777777" w:rsidR="000D320D" w:rsidRPr="009466AF" w:rsidRDefault="000D320D" w:rsidP="00B22A47">
            <w:pPr>
              <w:ind w:left="78"/>
              <w:rPr>
                <w:b/>
                <w:bCs/>
                <w:sz w:val="20"/>
                <w:szCs w:val="20"/>
              </w:rPr>
            </w:pPr>
            <w:r w:rsidRPr="009466AF">
              <w:rPr>
                <w:b/>
                <w:bCs/>
                <w:sz w:val="20"/>
                <w:szCs w:val="20"/>
              </w:rPr>
              <w:t>Stakeholder Discussion or Concerns</w:t>
            </w:r>
          </w:p>
        </w:tc>
      </w:tr>
      <w:tr w:rsidR="00325E53" w:rsidRPr="00CE7B73" w14:paraId="1E1FA843" w14:textId="77777777" w:rsidTr="00C12FDA">
        <w:trPr>
          <w:trHeight w:val="288"/>
        </w:trPr>
        <w:tc>
          <w:tcPr>
            <w:tcW w:w="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05A5B" w14:textId="36559D28" w:rsidR="00325E53" w:rsidRDefault="00325E53" w:rsidP="00325E53">
            <w:pPr>
              <w:pStyle w:val="ListParagraph"/>
              <w:numPr>
                <w:ilvl w:val="0"/>
                <w:numId w:val="0"/>
              </w:numPr>
              <w:ind w:left="-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TWG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61273D6F" w14:textId="498DB91E" w:rsidR="00325E53" w:rsidRPr="009466AF" w:rsidRDefault="00325E53" w:rsidP="00325E53">
            <w:pPr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3/18/2025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396CA637" w14:textId="49453545" w:rsidR="00325E53" w:rsidRDefault="00B876B1" w:rsidP="00325E53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Needs/</w:t>
            </w:r>
            <w:r w:rsidRPr="00B876B1">
              <w:rPr>
                <w:sz w:val="20"/>
                <w:szCs w:val="20"/>
              </w:rPr>
              <w:t>Portfolio Development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14C1F" w14:textId="13D94E52" w:rsidR="00325E53" w:rsidRDefault="00325E53" w:rsidP="00325E53">
            <w:pPr>
              <w:ind w:lef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36420752" w14:textId="77777777" w:rsidR="00325E53" w:rsidRPr="009466AF" w:rsidRDefault="00325E53" w:rsidP="00325E53">
            <w:pPr>
              <w:ind w:left="78"/>
              <w:rPr>
                <w:sz w:val="20"/>
                <w:szCs w:val="20"/>
              </w:rPr>
            </w:pPr>
          </w:p>
        </w:tc>
      </w:tr>
      <w:tr w:rsidR="00325E53" w:rsidRPr="00CE7B73" w14:paraId="028F18D8" w14:textId="77777777" w:rsidTr="00C12FDA">
        <w:trPr>
          <w:trHeight w:val="288"/>
        </w:trPr>
        <w:tc>
          <w:tcPr>
            <w:tcW w:w="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6D327" w14:textId="0D7ACFFE" w:rsidR="00325E53" w:rsidRDefault="00325E53" w:rsidP="00325E53">
            <w:pPr>
              <w:pStyle w:val="ListParagraph"/>
              <w:numPr>
                <w:ilvl w:val="0"/>
                <w:numId w:val="0"/>
              </w:numPr>
              <w:ind w:left="-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ESWG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325F5D94" w14:textId="6F8918FD" w:rsidR="00325E53" w:rsidRPr="009466AF" w:rsidRDefault="00325E53" w:rsidP="00325E53">
            <w:pPr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3/18/2025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0F95CB83" w14:textId="69480216" w:rsidR="00325E53" w:rsidRDefault="00B876B1" w:rsidP="00325E53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Needs/</w:t>
            </w:r>
            <w:r w:rsidRPr="00B876B1">
              <w:rPr>
                <w:sz w:val="20"/>
                <w:szCs w:val="20"/>
              </w:rPr>
              <w:t>Portfolio Development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D24C7" w14:textId="0095BD4F" w:rsidR="00325E53" w:rsidRDefault="00DF0CE4" w:rsidP="00325E53">
            <w:pPr>
              <w:ind w:lef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0D68A503" w14:textId="77777777" w:rsidR="00325E53" w:rsidRPr="009466AF" w:rsidRDefault="00325E53" w:rsidP="00325E53">
            <w:pPr>
              <w:ind w:left="78"/>
              <w:rPr>
                <w:sz w:val="20"/>
                <w:szCs w:val="20"/>
              </w:rPr>
            </w:pPr>
          </w:p>
        </w:tc>
      </w:tr>
      <w:tr w:rsidR="00325E53" w:rsidRPr="00CE7B73" w14:paraId="7FC219EE" w14:textId="77777777" w:rsidTr="00C12FDA">
        <w:trPr>
          <w:trHeight w:val="288"/>
        </w:trPr>
        <w:tc>
          <w:tcPr>
            <w:tcW w:w="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35EF0" w14:textId="1E241BE6" w:rsidR="00325E53" w:rsidRPr="009466AF" w:rsidRDefault="00325E53" w:rsidP="00325E53">
            <w:pPr>
              <w:pStyle w:val="ListParagraph"/>
              <w:numPr>
                <w:ilvl w:val="0"/>
                <w:numId w:val="0"/>
              </w:numPr>
              <w:ind w:left="-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TWG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670DFD05" w14:textId="3E021D57" w:rsidR="00325E53" w:rsidRPr="009466AF" w:rsidRDefault="00325E53" w:rsidP="00325E53">
            <w:pPr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3/19/2025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1EB08EDF" w14:textId="617444A7" w:rsidR="00325E53" w:rsidRPr="009466AF" w:rsidRDefault="00B876B1" w:rsidP="00325E53">
            <w:pPr>
              <w:ind w:left="77"/>
              <w:rPr>
                <w:sz w:val="20"/>
                <w:szCs w:val="20"/>
              </w:rPr>
            </w:pPr>
            <w:r w:rsidRPr="00B876B1">
              <w:rPr>
                <w:sz w:val="20"/>
                <w:szCs w:val="20"/>
              </w:rPr>
              <w:t>Resiliency</w:t>
            </w:r>
            <w:r>
              <w:rPr>
                <w:sz w:val="20"/>
                <w:szCs w:val="20"/>
              </w:rPr>
              <w:t xml:space="preserve"> Staging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5C39F" w14:textId="23A0034C" w:rsidR="00325E53" w:rsidRPr="009466AF" w:rsidRDefault="00DF0CE4" w:rsidP="00325E53">
            <w:pPr>
              <w:ind w:lef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93%</w:t>
            </w:r>
          </w:p>
        </w:tc>
        <w:tc>
          <w:tcPr>
            <w:tcW w:w="5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390E96F5" w14:textId="221BC866" w:rsidR="00325E53" w:rsidRPr="009466AF" w:rsidRDefault="00325E53" w:rsidP="00325E53">
            <w:pPr>
              <w:ind w:lef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 </w:t>
            </w:r>
            <w:r w:rsidR="00B876B1">
              <w:rPr>
                <w:sz w:val="20"/>
                <w:szCs w:val="20"/>
              </w:rPr>
              <w:t>indicated</w:t>
            </w:r>
            <w:r>
              <w:rPr>
                <w:sz w:val="20"/>
                <w:szCs w:val="20"/>
              </w:rPr>
              <w:t xml:space="preserve"> that</w:t>
            </w:r>
            <w:r w:rsidR="00B876B1">
              <w:rPr>
                <w:sz w:val="20"/>
                <w:szCs w:val="20"/>
              </w:rPr>
              <w:t xml:space="preserve"> the</w:t>
            </w:r>
            <w:r>
              <w:rPr>
                <w:sz w:val="20"/>
                <w:szCs w:val="20"/>
              </w:rPr>
              <w:t xml:space="preserve"> extrapolation methodology</w:t>
            </w:r>
            <w:r w:rsidR="00B876B1">
              <w:rPr>
                <w:sz w:val="20"/>
                <w:szCs w:val="20"/>
              </w:rPr>
              <w:t>, when applied</w:t>
            </w:r>
            <w:r>
              <w:rPr>
                <w:sz w:val="20"/>
                <w:szCs w:val="20"/>
              </w:rPr>
              <w:t xml:space="preserve"> outside of discre</w:t>
            </w:r>
            <w:r w:rsidR="00873CA1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models</w:t>
            </w:r>
            <w:r w:rsidR="00B876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876B1">
              <w:rPr>
                <w:sz w:val="20"/>
                <w:szCs w:val="20"/>
              </w:rPr>
              <w:t>does not</w:t>
            </w:r>
            <w:r>
              <w:rPr>
                <w:sz w:val="20"/>
                <w:szCs w:val="20"/>
              </w:rPr>
              <w:t xml:space="preserve"> align with current staging methodology. </w:t>
            </w:r>
          </w:p>
        </w:tc>
      </w:tr>
      <w:tr w:rsidR="00325E53" w:rsidRPr="00CE7B73" w14:paraId="10084BB4" w14:textId="77777777" w:rsidTr="00C12FDA">
        <w:trPr>
          <w:trHeight w:val="288"/>
        </w:trPr>
        <w:tc>
          <w:tcPr>
            <w:tcW w:w="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C9D97C" w14:textId="42092B60" w:rsidR="00325E53" w:rsidRDefault="00325E53" w:rsidP="00325E53">
            <w:pPr>
              <w:pStyle w:val="ListParagraph"/>
              <w:numPr>
                <w:ilvl w:val="0"/>
                <w:numId w:val="0"/>
              </w:numPr>
              <w:ind w:left="-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ESWG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00A956EC" w14:textId="2A2295D3" w:rsidR="00325E53" w:rsidRDefault="00325E53" w:rsidP="00325E53">
            <w:pPr>
              <w:ind w:left="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3/19/2025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7B784C49" w14:textId="101C4AD3" w:rsidR="00325E53" w:rsidRDefault="00B876B1" w:rsidP="00325E53">
            <w:pPr>
              <w:ind w:left="77"/>
              <w:rPr>
                <w:sz w:val="20"/>
                <w:szCs w:val="20"/>
              </w:rPr>
            </w:pPr>
            <w:r w:rsidRPr="00B876B1">
              <w:rPr>
                <w:sz w:val="20"/>
                <w:szCs w:val="20"/>
              </w:rPr>
              <w:t>Resiliency</w:t>
            </w:r>
            <w:r>
              <w:rPr>
                <w:sz w:val="20"/>
                <w:szCs w:val="20"/>
              </w:rPr>
              <w:t xml:space="preserve"> Staging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138155" w14:textId="6210B58C" w:rsidR="00325E53" w:rsidRDefault="00325E53" w:rsidP="00325E53">
            <w:pPr>
              <w:ind w:lef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EE7"/>
          </w:tcPr>
          <w:p w14:paraId="74558626" w14:textId="77777777" w:rsidR="00325E53" w:rsidRDefault="00325E53" w:rsidP="00325E53">
            <w:pPr>
              <w:ind w:left="78"/>
              <w:rPr>
                <w:sz w:val="20"/>
                <w:szCs w:val="20"/>
              </w:rPr>
            </w:pPr>
          </w:p>
        </w:tc>
      </w:tr>
      <w:tr w:rsidR="00325E53" w:rsidRPr="00CE7B73" w14:paraId="147F16EA" w14:textId="77777777" w:rsidTr="00C12FDA">
        <w:trPr>
          <w:trHeight w:val="333"/>
        </w:trPr>
        <w:tc>
          <w:tcPr>
            <w:tcW w:w="89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F7A398" w14:textId="492B5127" w:rsidR="00325E53" w:rsidRPr="009466AF" w:rsidRDefault="00325E53" w:rsidP="00325E53">
            <w:pPr>
              <w:pStyle w:val="ListParagraph"/>
              <w:numPr>
                <w:ilvl w:val="0"/>
                <w:numId w:val="0"/>
              </w:numPr>
              <w:ind w:left="-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MOPC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DEE7"/>
          </w:tcPr>
          <w:p w14:paraId="2F4BF61B" w14:textId="5EFD87E5" w:rsidR="00325E53" w:rsidRPr="009466AF" w:rsidRDefault="00325E53" w:rsidP="00325E53">
            <w:pPr>
              <w:ind w:left="76"/>
              <w:rPr>
                <w:sz w:val="20"/>
                <w:szCs w:val="20"/>
              </w:rPr>
            </w:pPr>
            <w:r w:rsidRPr="009466A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r w:rsidRPr="009466AF">
              <w:rPr>
                <w:sz w:val="20"/>
                <w:szCs w:val="20"/>
              </w:rPr>
              <w:instrText xml:space="preserve"> FORMTEXT </w:instrText>
            </w:r>
            <w:r w:rsidRPr="009466AF">
              <w:rPr>
                <w:sz w:val="20"/>
                <w:szCs w:val="20"/>
              </w:rPr>
            </w:r>
            <w:r w:rsidRPr="009466AF">
              <w:rPr>
                <w:sz w:val="20"/>
                <w:szCs w:val="20"/>
              </w:rPr>
              <w:fldChar w:fldCharType="separate"/>
            </w:r>
            <w:r w:rsidRPr="009466AF">
              <w:rPr>
                <w:sz w:val="20"/>
                <w:szCs w:val="20"/>
              </w:rPr>
              <w:t>MM/DD/YY</w:t>
            </w:r>
            <w:r w:rsidRPr="009466AF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DEE7"/>
          </w:tcPr>
          <w:p w14:paraId="102D3544" w14:textId="342EC497" w:rsidR="00325E53" w:rsidRDefault="00325E53" w:rsidP="00325E53">
            <w:pPr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tion languag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Motion language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DE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6121CF" w14:textId="297533EB" w:rsidR="00325E53" w:rsidRDefault="00325E53" w:rsidP="00325E53">
            <w:pPr>
              <w:ind w:lef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SS FAIL %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PASS FAIL %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6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DEE7"/>
          </w:tcPr>
          <w:p w14:paraId="1F00E9EE" w14:textId="77777777" w:rsidR="00325E53" w:rsidRDefault="00325E53" w:rsidP="00325E53">
            <w:pPr>
              <w:ind w:left="78"/>
              <w:rPr>
                <w:sz w:val="20"/>
                <w:szCs w:val="20"/>
              </w:rPr>
            </w:pPr>
            <w:r w:rsidRPr="009466A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arize any major stakeholder dissent, concerns or discussion"/>
                  </w:textInput>
                </w:ffData>
              </w:fldChar>
            </w:r>
            <w:r w:rsidRPr="009466AF">
              <w:rPr>
                <w:sz w:val="20"/>
                <w:szCs w:val="20"/>
              </w:rPr>
              <w:instrText xml:space="preserve"> FORMTEXT </w:instrText>
            </w:r>
            <w:r w:rsidRPr="009466AF">
              <w:rPr>
                <w:sz w:val="20"/>
                <w:szCs w:val="20"/>
              </w:rPr>
            </w:r>
            <w:r w:rsidRPr="009466AF">
              <w:rPr>
                <w:sz w:val="20"/>
                <w:szCs w:val="20"/>
              </w:rPr>
              <w:fldChar w:fldCharType="separate"/>
            </w:r>
            <w:r w:rsidRPr="009466AF">
              <w:rPr>
                <w:noProof/>
                <w:sz w:val="20"/>
                <w:szCs w:val="20"/>
              </w:rPr>
              <w:t>Summarize any major stakeholder dissent, concerns or discussion</w:t>
            </w:r>
            <w:r w:rsidRPr="009466AF">
              <w:rPr>
                <w:sz w:val="20"/>
                <w:szCs w:val="20"/>
              </w:rPr>
              <w:fldChar w:fldCharType="end"/>
            </w:r>
          </w:p>
          <w:p w14:paraId="765ACD33" w14:textId="1D88AA7B" w:rsidR="00325E53" w:rsidRPr="009466AF" w:rsidRDefault="00325E53" w:rsidP="00325E53">
            <w:pPr>
              <w:ind w:left="78"/>
              <w:rPr>
                <w:sz w:val="20"/>
                <w:szCs w:val="20"/>
              </w:rPr>
            </w:pPr>
          </w:p>
        </w:tc>
      </w:tr>
    </w:tbl>
    <w:p w14:paraId="4691A025" w14:textId="77777777" w:rsidR="000D320D" w:rsidRPr="0063306B" w:rsidRDefault="000D320D" w:rsidP="00A4350F">
      <w:pPr>
        <w:rPr>
          <w:b/>
        </w:rPr>
      </w:pPr>
    </w:p>
    <w:p w14:paraId="54A9FFEB" w14:textId="77777777" w:rsidR="00BA757F" w:rsidRPr="00BA757F" w:rsidRDefault="0063306B" w:rsidP="00BA757F">
      <w:pPr>
        <w:ind w:left="-540"/>
        <w:rPr>
          <w:sz w:val="20"/>
          <w:szCs w:val="20"/>
        </w:rPr>
      </w:pPr>
      <w:r w:rsidRPr="0063306B">
        <w:rPr>
          <w:b/>
        </w:rPr>
        <w:t>Recommendation</w:t>
      </w:r>
      <w:r>
        <w:t xml:space="preserve">: </w:t>
      </w:r>
      <w:r w:rsidR="00BA757F" w:rsidRPr="00BA757F">
        <w:rPr>
          <w:sz w:val="20"/>
          <w:szCs w:val="20"/>
        </w:rPr>
        <w:t>TWG recommends MOPC approve the 2025 ITP Scope language as presented.</w:t>
      </w:r>
    </w:p>
    <w:p w14:paraId="063E4702" w14:textId="18CBCFDD" w:rsidR="00984A12" w:rsidRPr="00984A12" w:rsidRDefault="00984A12" w:rsidP="00F076A6">
      <w:pPr>
        <w:ind w:left="-540"/>
      </w:pPr>
    </w:p>
    <w:sectPr w:rsidR="00984A12" w:rsidRPr="00984A12" w:rsidSect="006B3A1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440" w:left="1440" w:header="4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B898" w14:textId="77777777" w:rsidR="00C52E21" w:rsidRDefault="00C52E21" w:rsidP="009A533B">
      <w:r>
        <w:separator/>
      </w:r>
    </w:p>
  </w:endnote>
  <w:endnote w:type="continuationSeparator" w:id="0">
    <w:p w14:paraId="10A19011" w14:textId="77777777" w:rsidR="00C52E21" w:rsidRDefault="00C52E21" w:rsidP="009A533B">
      <w:r>
        <w:continuationSeparator/>
      </w:r>
    </w:p>
  </w:endnote>
  <w:endnote w:type="continuationNotice" w:id="1">
    <w:p w14:paraId="79B245A5" w14:textId="77777777" w:rsidR="00C52E21" w:rsidRDefault="00C52E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3159" w14:textId="3DC8E845" w:rsidR="0041188A" w:rsidRDefault="004118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F83765B" wp14:editId="353036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00086428" name="Text Box 2" descr="SPP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9313E" w14:textId="6FF2C1B5" w:rsidR="0041188A" w:rsidRPr="0041188A" w:rsidRDefault="0041188A" w:rsidP="004118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18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SPP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37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P Internal Only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149313E" w14:textId="6FF2C1B5" w:rsidR="0041188A" w:rsidRPr="0041188A" w:rsidRDefault="0041188A" w:rsidP="004118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18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SPP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FA7E" w14:textId="04CD087D" w:rsidR="00413D5D" w:rsidRPr="00BE344A" w:rsidRDefault="0041188A" w:rsidP="00EA69EB">
    <w:pPr>
      <w:pStyle w:val="Footer"/>
      <w:ind w:left="-54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CB4640" wp14:editId="123F1E45">
              <wp:simplePos x="915035" y="94500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631932740" name="Text Box 3" descr="SPP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2B906" w14:textId="34B0CF1B" w:rsidR="0041188A" w:rsidRPr="0041188A" w:rsidRDefault="0041188A" w:rsidP="004118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18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SPP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B46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PP Internal Only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2F2B906" w14:textId="34B0CF1B" w:rsidR="0041188A" w:rsidRPr="0041188A" w:rsidRDefault="0041188A" w:rsidP="004118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18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SPP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3D5D" w:rsidRPr="00BE344A">
      <w:tab/>
    </w:r>
    <w:r w:rsidR="00413D5D" w:rsidRPr="00BE344A">
      <w:tab/>
    </w:r>
    <w:r w:rsidR="00413D5D" w:rsidRPr="00BE344A">
      <w:fldChar w:fldCharType="begin"/>
    </w:r>
    <w:r w:rsidR="00413D5D" w:rsidRPr="00BE344A">
      <w:instrText xml:space="preserve"> PAGE   \* MERGEFORMAT </w:instrText>
    </w:r>
    <w:r w:rsidR="00413D5D" w:rsidRPr="00BE344A">
      <w:fldChar w:fldCharType="separate"/>
    </w:r>
    <w:r w:rsidR="00863089">
      <w:rPr>
        <w:noProof/>
      </w:rPr>
      <w:t>2</w:t>
    </w:r>
    <w:r w:rsidR="00413D5D" w:rsidRPr="00BE344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DC2D" w14:textId="4A4C8F63" w:rsidR="0041188A" w:rsidRDefault="004118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59E3B" wp14:editId="39102BA0">
              <wp:simplePos x="914400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444299411" name="Text Box 1" descr="SPP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81D21" w14:textId="24423343" w:rsidR="0041188A" w:rsidRPr="0041188A" w:rsidRDefault="0041188A" w:rsidP="004118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118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SPP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59E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PP Internal Only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B81D21" w14:textId="24423343" w:rsidR="0041188A" w:rsidRPr="0041188A" w:rsidRDefault="0041188A" w:rsidP="004118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118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SPP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721F" w14:textId="77777777" w:rsidR="00C52E21" w:rsidRDefault="00C52E21" w:rsidP="009A533B">
      <w:r>
        <w:separator/>
      </w:r>
    </w:p>
  </w:footnote>
  <w:footnote w:type="continuationSeparator" w:id="0">
    <w:p w14:paraId="42AB21F4" w14:textId="77777777" w:rsidR="00C52E21" w:rsidRDefault="00C52E21" w:rsidP="009A533B">
      <w:r>
        <w:continuationSeparator/>
      </w:r>
    </w:p>
  </w:footnote>
  <w:footnote w:type="continuationNotice" w:id="1">
    <w:p w14:paraId="2082EB9E" w14:textId="77777777" w:rsidR="00C52E21" w:rsidRDefault="00C52E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E445" w14:textId="77777777" w:rsidR="00413D5D" w:rsidRDefault="00413D5D" w:rsidP="006B3A14">
    <w:pPr>
      <w:pStyle w:val="Header"/>
      <w:ind w:left="-108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8E8B" w14:textId="77777777" w:rsidR="006B3A14" w:rsidRDefault="006B3A14" w:rsidP="006B3A14">
    <w:pPr>
      <w:pStyle w:val="Header"/>
      <w:ind w:left="-810"/>
    </w:pPr>
    <w:r>
      <w:rPr>
        <w:noProof/>
      </w:rPr>
      <w:drawing>
        <wp:inline distT="0" distB="0" distL="0" distR="0" wp14:anchorId="6FF93B54" wp14:editId="4765E6FF">
          <wp:extent cx="1554480" cy="548640"/>
          <wp:effectExtent l="0" t="0" r="0" b="0"/>
          <wp:docPr id="2" name="Picture 2" descr="C:\Users\ekp0506\AppData\Local\Microsoft\Windows\INetCache\Content.Word\SPP-Logo-LOW-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C:\Users\ekp0506\AppData\Local\Microsoft\Windows\INetCache\Content.Word\SPP-Logo-LOW-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641"/>
    <w:multiLevelType w:val="hybridMultilevel"/>
    <w:tmpl w:val="A098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05A"/>
    <w:multiLevelType w:val="hybridMultilevel"/>
    <w:tmpl w:val="9FDE7F96"/>
    <w:lvl w:ilvl="0" w:tplc="BD2AA84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6A640A7"/>
    <w:multiLevelType w:val="hybridMultilevel"/>
    <w:tmpl w:val="223A7C3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079173B6"/>
    <w:multiLevelType w:val="hybridMultilevel"/>
    <w:tmpl w:val="2646A51E"/>
    <w:lvl w:ilvl="0" w:tplc="FC784E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642"/>
    <w:multiLevelType w:val="hybridMultilevel"/>
    <w:tmpl w:val="45C042A0"/>
    <w:lvl w:ilvl="0" w:tplc="0DA24FB0">
      <w:start w:val="5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11066F"/>
    <w:multiLevelType w:val="hybridMultilevel"/>
    <w:tmpl w:val="2F7AA314"/>
    <w:lvl w:ilvl="0" w:tplc="AEC8CD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7120"/>
    <w:multiLevelType w:val="hybridMultilevel"/>
    <w:tmpl w:val="4F969F48"/>
    <w:lvl w:ilvl="0" w:tplc="0DA24FB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204F"/>
    <w:multiLevelType w:val="hybridMultilevel"/>
    <w:tmpl w:val="C348271C"/>
    <w:lvl w:ilvl="0" w:tplc="D908BEE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2D957ABA"/>
    <w:multiLevelType w:val="hybridMultilevel"/>
    <w:tmpl w:val="EE141104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35AA6F7F"/>
    <w:multiLevelType w:val="hybridMultilevel"/>
    <w:tmpl w:val="FB70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0BB0"/>
    <w:multiLevelType w:val="hybridMultilevel"/>
    <w:tmpl w:val="9FDE7F96"/>
    <w:lvl w:ilvl="0" w:tplc="BD2AA84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BB66F58"/>
    <w:multiLevelType w:val="hybridMultilevel"/>
    <w:tmpl w:val="C8C4B604"/>
    <w:lvl w:ilvl="0" w:tplc="BD2AA84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3DDB3B7B"/>
    <w:multiLevelType w:val="hybridMultilevel"/>
    <w:tmpl w:val="4B127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332BBA"/>
    <w:multiLevelType w:val="hybridMultilevel"/>
    <w:tmpl w:val="994A1DB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515855D5"/>
    <w:multiLevelType w:val="multilevel"/>
    <w:tmpl w:val="1FA6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10E0F"/>
    <w:multiLevelType w:val="hybridMultilevel"/>
    <w:tmpl w:val="FBFC7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655E9"/>
    <w:multiLevelType w:val="hybridMultilevel"/>
    <w:tmpl w:val="1154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1384">
    <w:abstractNumId w:val="3"/>
  </w:num>
  <w:num w:numId="2" w16cid:durableId="1142700480">
    <w:abstractNumId w:val="16"/>
  </w:num>
  <w:num w:numId="3" w16cid:durableId="1663658819">
    <w:abstractNumId w:val="5"/>
  </w:num>
  <w:num w:numId="4" w16cid:durableId="634682527">
    <w:abstractNumId w:val="9"/>
  </w:num>
  <w:num w:numId="5" w16cid:durableId="1178738046">
    <w:abstractNumId w:val="6"/>
  </w:num>
  <w:num w:numId="6" w16cid:durableId="1361517779">
    <w:abstractNumId w:val="4"/>
  </w:num>
  <w:num w:numId="7" w16cid:durableId="384570005">
    <w:abstractNumId w:val="15"/>
  </w:num>
  <w:num w:numId="8" w16cid:durableId="2018384596">
    <w:abstractNumId w:val="7"/>
  </w:num>
  <w:num w:numId="9" w16cid:durableId="1398935945">
    <w:abstractNumId w:val="10"/>
  </w:num>
  <w:num w:numId="10" w16cid:durableId="1636525015">
    <w:abstractNumId w:val="11"/>
  </w:num>
  <w:num w:numId="11" w16cid:durableId="811024149">
    <w:abstractNumId w:val="1"/>
  </w:num>
  <w:num w:numId="12" w16cid:durableId="89813899">
    <w:abstractNumId w:val="14"/>
  </w:num>
  <w:num w:numId="13" w16cid:durableId="1741322819">
    <w:abstractNumId w:val="8"/>
  </w:num>
  <w:num w:numId="14" w16cid:durableId="1961302420">
    <w:abstractNumId w:val="2"/>
  </w:num>
  <w:num w:numId="15" w16cid:durableId="512376922">
    <w:abstractNumId w:val="0"/>
  </w:num>
  <w:num w:numId="16" w16cid:durableId="76561076">
    <w:abstractNumId w:val="12"/>
  </w:num>
  <w:num w:numId="17" w16cid:durableId="895973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CD"/>
    <w:rsid w:val="00026A7E"/>
    <w:rsid w:val="000442E5"/>
    <w:rsid w:val="00046343"/>
    <w:rsid w:val="000514D3"/>
    <w:rsid w:val="00055190"/>
    <w:rsid w:val="00057E95"/>
    <w:rsid w:val="00084D97"/>
    <w:rsid w:val="00090509"/>
    <w:rsid w:val="00095C0D"/>
    <w:rsid w:val="000B2BAC"/>
    <w:rsid w:val="000D320D"/>
    <w:rsid w:val="000E048D"/>
    <w:rsid w:val="000F1605"/>
    <w:rsid w:val="00102B11"/>
    <w:rsid w:val="00105C34"/>
    <w:rsid w:val="00144B98"/>
    <w:rsid w:val="001472BA"/>
    <w:rsid w:val="0016046B"/>
    <w:rsid w:val="00161F74"/>
    <w:rsid w:val="0016227F"/>
    <w:rsid w:val="00193AA4"/>
    <w:rsid w:val="00211D1D"/>
    <w:rsid w:val="00223B0A"/>
    <w:rsid w:val="002775D4"/>
    <w:rsid w:val="00277A06"/>
    <w:rsid w:val="00277FE2"/>
    <w:rsid w:val="00294E96"/>
    <w:rsid w:val="002B0E77"/>
    <w:rsid w:val="002B5724"/>
    <w:rsid w:val="002C49BF"/>
    <w:rsid w:val="002D6C32"/>
    <w:rsid w:val="002E2D86"/>
    <w:rsid w:val="0031421C"/>
    <w:rsid w:val="00314956"/>
    <w:rsid w:val="00324DA0"/>
    <w:rsid w:val="00325E53"/>
    <w:rsid w:val="00330895"/>
    <w:rsid w:val="0033206F"/>
    <w:rsid w:val="00340AFD"/>
    <w:rsid w:val="00354BBE"/>
    <w:rsid w:val="00363796"/>
    <w:rsid w:val="00374500"/>
    <w:rsid w:val="00394CB9"/>
    <w:rsid w:val="00396FA4"/>
    <w:rsid w:val="003A0A76"/>
    <w:rsid w:val="003A3ABB"/>
    <w:rsid w:val="00402E2E"/>
    <w:rsid w:val="0041188A"/>
    <w:rsid w:val="00413D5D"/>
    <w:rsid w:val="00444D0B"/>
    <w:rsid w:val="00462F56"/>
    <w:rsid w:val="00472B6D"/>
    <w:rsid w:val="00483BA8"/>
    <w:rsid w:val="004A62C6"/>
    <w:rsid w:val="004B465C"/>
    <w:rsid w:val="004C2B96"/>
    <w:rsid w:val="004C64D7"/>
    <w:rsid w:val="004D4CEF"/>
    <w:rsid w:val="00501D46"/>
    <w:rsid w:val="0050762F"/>
    <w:rsid w:val="0051178D"/>
    <w:rsid w:val="005141B9"/>
    <w:rsid w:val="00521C78"/>
    <w:rsid w:val="00523A8D"/>
    <w:rsid w:val="00523DC2"/>
    <w:rsid w:val="00533527"/>
    <w:rsid w:val="00547910"/>
    <w:rsid w:val="00557CED"/>
    <w:rsid w:val="00592D8A"/>
    <w:rsid w:val="005E6D26"/>
    <w:rsid w:val="005E796E"/>
    <w:rsid w:val="005F0344"/>
    <w:rsid w:val="00600056"/>
    <w:rsid w:val="00600208"/>
    <w:rsid w:val="00606156"/>
    <w:rsid w:val="00625A6A"/>
    <w:rsid w:val="0063306B"/>
    <w:rsid w:val="00641DC0"/>
    <w:rsid w:val="0069522F"/>
    <w:rsid w:val="006A35E8"/>
    <w:rsid w:val="006B3A14"/>
    <w:rsid w:val="0070066F"/>
    <w:rsid w:val="00706523"/>
    <w:rsid w:val="00726522"/>
    <w:rsid w:val="00741BF9"/>
    <w:rsid w:val="00747FA7"/>
    <w:rsid w:val="00757B81"/>
    <w:rsid w:val="007765E3"/>
    <w:rsid w:val="0078756D"/>
    <w:rsid w:val="00787621"/>
    <w:rsid w:val="00796638"/>
    <w:rsid w:val="00796690"/>
    <w:rsid w:val="00797ABC"/>
    <w:rsid w:val="007A0FCD"/>
    <w:rsid w:val="007B1B6C"/>
    <w:rsid w:val="007D0C52"/>
    <w:rsid w:val="007D4B7A"/>
    <w:rsid w:val="00833E5E"/>
    <w:rsid w:val="00840BB1"/>
    <w:rsid w:val="00842C56"/>
    <w:rsid w:val="00863089"/>
    <w:rsid w:val="00864C0D"/>
    <w:rsid w:val="00873CA1"/>
    <w:rsid w:val="00876974"/>
    <w:rsid w:val="008771B3"/>
    <w:rsid w:val="008C3753"/>
    <w:rsid w:val="008D4BFF"/>
    <w:rsid w:val="008E54FC"/>
    <w:rsid w:val="008F61E5"/>
    <w:rsid w:val="00901A4B"/>
    <w:rsid w:val="009066B4"/>
    <w:rsid w:val="0091332F"/>
    <w:rsid w:val="00945429"/>
    <w:rsid w:val="009466AF"/>
    <w:rsid w:val="0096790A"/>
    <w:rsid w:val="00984A12"/>
    <w:rsid w:val="00994F63"/>
    <w:rsid w:val="009A533B"/>
    <w:rsid w:val="009D679B"/>
    <w:rsid w:val="00A344F6"/>
    <w:rsid w:val="00A348D8"/>
    <w:rsid w:val="00A4350F"/>
    <w:rsid w:val="00A53750"/>
    <w:rsid w:val="00A57B04"/>
    <w:rsid w:val="00A83C37"/>
    <w:rsid w:val="00A85B65"/>
    <w:rsid w:val="00A9190C"/>
    <w:rsid w:val="00A933E9"/>
    <w:rsid w:val="00A9550B"/>
    <w:rsid w:val="00AA1937"/>
    <w:rsid w:val="00AA6B8D"/>
    <w:rsid w:val="00AB55EB"/>
    <w:rsid w:val="00AD4C81"/>
    <w:rsid w:val="00AE7EE9"/>
    <w:rsid w:val="00AF6FD8"/>
    <w:rsid w:val="00B22A47"/>
    <w:rsid w:val="00B33BF0"/>
    <w:rsid w:val="00B34924"/>
    <w:rsid w:val="00B43E31"/>
    <w:rsid w:val="00B70B0C"/>
    <w:rsid w:val="00B876B1"/>
    <w:rsid w:val="00BA757F"/>
    <w:rsid w:val="00BB7746"/>
    <w:rsid w:val="00BC6869"/>
    <w:rsid w:val="00BD38AC"/>
    <w:rsid w:val="00BE344A"/>
    <w:rsid w:val="00C12FDA"/>
    <w:rsid w:val="00C2636D"/>
    <w:rsid w:val="00C453A8"/>
    <w:rsid w:val="00C465DF"/>
    <w:rsid w:val="00C47F4C"/>
    <w:rsid w:val="00C52E21"/>
    <w:rsid w:val="00C81969"/>
    <w:rsid w:val="00C94D25"/>
    <w:rsid w:val="00C95BDC"/>
    <w:rsid w:val="00CA627C"/>
    <w:rsid w:val="00CA754B"/>
    <w:rsid w:val="00CB43BE"/>
    <w:rsid w:val="00CC4AA4"/>
    <w:rsid w:val="00CE7B73"/>
    <w:rsid w:val="00CF746E"/>
    <w:rsid w:val="00D010D9"/>
    <w:rsid w:val="00D34E82"/>
    <w:rsid w:val="00D361E9"/>
    <w:rsid w:val="00D47916"/>
    <w:rsid w:val="00D8266E"/>
    <w:rsid w:val="00D82C49"/>
    <w:rsid w:val="00D87F32"/>
    <w:rsid w:val="00DB4DAB"/>
    <w:rsid w:val="00DB6325"/>
    <w:rsid w:val="00DC54EF"/>
    <w:rsid w:val="00DE4370"/>
    <w:rsid w:val="00DF0CE4"/>
    <w:rsid w:val="00E001EF"/>
    <w:rsid w:val="00E3533D"/>
    <w:rsid w:val="00E460B1"/>
    <w:rsid w:val="00E47E73"/>
    <w:rsid w:val="00E624D7"/>
    <w:rsid w:val="00E73B85"/>
    <w:rsid w:val="00E771E5"/>
    <w:rsid w:val="00E83E5C"/>
    <w:rsid w:val="00E931A4"/>
    <w:rsid w:val="00E945DB"/>
    <w:rsid w:val="00E9663D"/>
    <w:rsid w:val="00EA39E6"/>
    <w:rsid w:val="00EA69EB"/>
    <w:rsid w:val="00EE2388"/>
    <w:rsid w:val="00EF600C"/>
    <w:rsid w:val="00F0295D"/>
    <w:rsid w:val="00F076A6"/>
    <w:rsid w:val="00F31AB4"/>
    <w:rsid w:val="00F56338"/>
    <w:rsid w:val="00F64F9C"/>
    <w:rsid w:val="00F7755A"/>
    <w:rsid w:val="00F8195E"/>
    <w:rsid w:val="00F8215B"/>
    <w:rsid w:val="00F83ED7"/>
    <w:rsid w:val="00F877B4"/>
    <w:rsid w:val="00FA1120"/>
    <w:rsid w:val="00FA58CF"/>
    <w:rsid w:val="00FB4BD1"/>
    <w:rsid w:val="00FB5CED"/>
    <w:rsid w:val="00FD0B6E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2B0A"/>
  <w15:chartTrackingRefBased/>
  <w15:docId w15:val="{B29B2E73-6FC1-43F9-97C5-3CEC26DA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B73"/>
    <w:pPr>
      <w:tabs>
        <w:tab w:val="left" w:pos="2431"/>
      </w:tabs>
      <w:spacing w:after="240" w:line="240" w:lineRule="auto"/>
    </w:pPr>
    <w:rPr>
      <w:rFonts w:ascii="Segoe UI" w:hAnsi="Segoe UI"/>
    </w:rPr>
  </w:style>
  <w:style w:type="paragraph" w:styleId="Heading1">
    <w:name w:val="heading 1"/>
    <w:next w:val="Normal"/>
    <w:link w:val="Heading1Char"/>
    <w:uiPriority w:val="9"/>
    <w:qFormat/>
    <w:rsid w:val="00462F56"/>
    <w:pPr>
      <w:keepNext/>
      <w:keepLines/>
      <w:pBdr>
        <w:bottom w:val="single" w:sz="2" w:space="1" w:color="C7202F" w:themeColor="accent1"/>
      </w:pBdr>
      <w:spacing w:before="200" w:after="200" w:line="240" w:lineRule="auto"/>
      <w:outlineLvl w:val="0"/>
    </w:pPr>
    <w:rPr>
      <w:rFonts w:ascii="Segoe UI" w:eastAsiaTheme="majorEastAsia" w:hAnsi="Segoe UI" w:cs="Segoe UI"/>
      <w:caps/>
      <w:color w:val="C7202F" w:themeColor="accent1"/>
      <w:sz w:val="28"/>
      <w:szCs w:val="52"/>
    </w:rPr>
  </w:style>
  <w:style w:type="paragraph" w:styleId="Heading2">
    <w:name w:val="heading 2"/>
    <w:next w:val="Normal"/>
    <w:link w:val="Heading2Char"/>
    <w:uiPriority w:val="9"/>
    <w:unhideWhenUsed/>
    <w:qFormat/>
    <w:rsid w:val="00462F56"/>
    <w:pPr>
      <w:keepNext/>
      <w:keepLines/>
      <w:spacing w:before="240" w:after="240" w:line="240" w:lineRule="auto"/>
      <w:contextualSpacing/>
      <w:outlineLvl w:val="1"/>
    </w:pPr>
    <w:rPr>
      <w:rFonts w:ascii="Segoe UI Semibold" w:eastAsiaTheme="majorEastAsia" w:hAnsi="Segoe UI Semibold" w:cs="Segoe UI Semibold"/>
      <w:caps/>
      <w:color w:val="C00000"/>
      <w:sz w:val="26"/>
      <w:szCs w:val="36"/>
    </w:rPr>
  </w:style>
  <w:style w:type="paragraph" w:styleId="Heading3">
    <w:name w:val="heading 3"/>
    <w:next w:val="Normal"/>
    <w:link w:val="Heading3Char"/>
    <w:uiPriority w:val="9"/>
    <w:unhideWhenUsed/>
    <w:qFormat/>
    <w:rsid w:val="00462F56"/>
    <w:pPr>
      <w:keepNext/>
      <w:keepLines/>
      <w:spacing w:before="160" w:line="240" w:lineRule="auto"/>
      <w:outlineLvl w:val="2"/>
    </w:pPr>
    <w:rPr>
      <w:rFonts w:ascii="Segoe UI Semilight" w:eastAsiaTheme="majorEastAsia" w:hAnsi="Segoe UI Semilight" w:cs="Segoe UI Semilight"/>
      <w:b/>
      <w:color w:val="2399BB" w:themeColor="accent2"/>
      <w:sz w:val="24"/>
      <w:szCs w:val="32"/>
    </w:rPr>
  </w:style>
  <w:style w:type="paragraph" w:styleId="Heading4">
    <w:name w:val="heading 4"/>
    <w:next w:val="Normal"/>
    <w:link w:val="Heading4Char"/>
    <w:uiPriority w:val="9"/>
    <w:unhideWhenUsed/>
    <w:qFormat/>
    <w:rsid w:val="00600056"/>
    <w:pPr>
      <w:keepNext/>
      <w:keepLines/>
      <w:spacing w:before="240" w:after="240" w:line="240" w:lineRule="auto"/>
      <w:outlineLvl w:val="3"/>
    </w:pPr>
    <w:rPr>
      <w:rFonts w:ascii="Segoe UI Light" w:eastAsiaTheme="majorEastAsia" w:hAnsi="Segoe UI Light" w:cs="Segoe UI Light"/>
      <w:b/>
      <w:iCs/>
      <w:caps/>
      <w:color w:val="2A363B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533B"/>
    <w:pPr>
      <w:keepNext/>
      <w:keepLines/>
      <w:spacing w:before="240"/>
      <w:outlineLvl w:val="4"/>
    </w:pPr>
    <w:rPr>
      <w:rFonts w:eastAsiaTheme="majorEastAsia" w:cs="Segoe UI"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533B"/>
    <w:pPr>
      <w:keepNext/>
      <w:keepLines/>
      <w:spacing w:before="240"/>
      <w:outlineLvl w:val="5"/>
    </w:pPr>
    <w:rPr>
      <w:rFonts w:eastAsiaTheme="majorEastAsia" w:cs="Segoe UI"/>
      <w:i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4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101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rsid w:val="00557CED"/>
    <w:pPr>
      <w:tabs>
        <w:tab w:val="right" w:pos="9360"/>
      </w:tabs>
      <w:spacing w:after="0" w:line="240" w:lineRule="auto"/>
    </w:pPr>
    <w:rPr>
      <w:rFonts w:ascii="Segoe UI Semilight" w:hAnsi="Segoe UI Semilight" w:cs="Segoe UI Semilight"/>
      <w:i/>
      <w:color w:val="767171" w:themeColor="background2" w:themeShade="8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7CED"/>
    <w:rPr>
      <w:rFonts w:ascii="Segoe UI Semilight" w:hAnsi="Segoe UI Semilight" w:cs="Segoe UI Semilight"/>
      <w:i/>
      <w:color w:val="767171" w:themeColor="background2" w:themeShade="80"/>
      <w:sz w:val="18"/>
      <w:szCs w:val="18"/>
    </w:rPr>
  </w:style>
  <w:style w:type="paragraph" w:styleId="Footer">
    <w:name w:val="footer"/>
    <w:basedOn w:val="Header"/>
    <w:link w:val="FooterChar"/>
    <w:uiPriority w:val="99"/>
    <w:unhideWhenUsed/>
    <w:qFormat/>
    <w:rsid w:val="004C64D7"/>
    <w:pPr>
      <w:tabs>
        <w:tab w:val="center" w:pos="50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D7"/>
    <w:rPr>
      <w:rFonts w:ascii="Segoe UI Semilight" w:hAnsi="Segoe UI Semilight" w:cs="Segoe UI Semilight"/>
      <w:i/>
      <w:color w:val="767171" w:themeColor="background2" w:themeShade="80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726522"/>
    <w:rPr>
      <w:rFonts w:ascii="Segoe UI Light" w:hAnsi="Segoe UI Light" w:cs="Segoe UI Light"/>
      <w:i/>
      <w:iCs/>
      <w:color w:val="2A363B" w:themeColor="text1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641DC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62F56"/>
    <w:rPr>
      <w:rFonts w:ascii="Segoe UI Semibold" w:eastAsiaTheme="majorEastAsia" w:hAnsi="Segoe UI Semibold" w:cs="Segoe UI Semibold"/>
      <w:caps/>
      <w:color w:val="C00000"/>
      <w:sz w:val="2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62F56"/>
    <w:rPr>
      <w:rFonts w:ascii="Segoe UI" w:eastAsiaTheme="majorEastAsia" w:hAnsi="Segoe UI" w:cs="Segoe UI"/>
      <w:caps/>
      <w:color w:val="C7202F" w:themeColor="accent1"/>
      <w:sz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62F56"/>
    <w:rPr>
      <w:rFonts w:ascii="Segoe UI Semilight" w:eastAsiaTheme="majorEastAsia" w:hAnsi="Segoe UI Semilight" w:cs="Segoe UI Semilight"/>
      <w:b/>
      <w:color w:val="2399BB" w:themeColor="accent2"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94F63"/>
    <w:pPr>
      <w:spacing w:after="0"/>
      <w:jc w:val="center"/>
    </w:pPr>
    <w:rPr>
      <w:rFonts w:ascii="Segoe UI Black" w:hAnsi="Segoe UI Black"/>
      <w:b/>
      <w:caps/>
      <w:color w:val="C7202F" w:themeColor="accent1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94F63"/>
    <w:rPr>
      <w:rFonts w:ascii="Segoe UI Black" w:hAnsi="Segoe UI Black"/>
      <w:b/>
      <w:caps/>
      <w:color w:val="C7202F" w:themeColor="accent1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A76"/>
    <w:pPr>
      <w:spacing w:after="160"/>
    </w:pPr>
    <w:rPr>
      <w:rFonts w:ascii="Segoe UI Light" w:hAnsi="Segoe UI Light" w:cs="Segoe UI Light"/>
      <w:caps/>
      <w:color w:val="2A363B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0A76"/>
    <w:rPr>
      <w:rFonts w:ascii="Segoe UI Light" w:hAnsi="Segoe UI Light" w:cs="Segoe UI Light"/>
      <w:caps/>
      <w:color w:val="2A363B" w:themeColor="text1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641DC0"/>
    <w:rPr>
      <w:i/>
      <w:iCs/>
      <w:color w:val="E13A3E"/>
    </w:rPr>
  </w:style>
  <w:style w:type="character" w:styleId="Strong">
    <w:name w:val="Strong"/>
    <w:uiPriority w:val="22"/>
    <w:qFormat/>
    <w:rsid w:val="00641D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00056"/>
    <w:rPr>
      <w:rFonts w:ascii="Segoe UI Light" w:eastAsiaTheme="majorEastAsia" w:hAnsi="Segoe UI Light" w:cs="Segoe UI Light"/>
      <w:b/>
      <w:iCs/>
      <w:caps/>
      <w:color w:val="2A363B" w:themeColor="text1"/>
      <w:sz w:val="24"/>
      <w:szCs w:val="24"/>
    </w:rPr>
  </w:style>
  <w:style w:type="table" w:styleId="TableGrid">
    <w:name w:val="Table Grid"/>
    <w:basedOn w:val="TableNormal"/>
    <w:uiPriority w:val="39"/>
    <w:rsid w:val="0064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aliases w:val="SPP Report Template"/>
    <w:basedOn w:val="TableNormal"/>
    <w:uiPriority w:val="49"/>
    <w:rsid w:val="00B43E31"/>
    <w:pPr>
      <w:spacing w:after="0" w:line="240" w:lineRule="auto"/>
    </w:pPr>
    <w:rPr>
      <w:rFonts w:ascii="Segoe UI" w:hAnsi="Segoe UI"/>
    </w:r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72" w:type="dxa"/>
        <w:left w:w="115" w:type="dxa"/>
        <w:bottom w:w="144" w:type="dxa"/>
        <w:right w:w="115" w:type="dxa"/>
      </w:tblCellMar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363B" w:themeColor="text1"/>
          <w:left w:val="single" w:sz="4" w:space="0" w:color="2A363B" w:themeColor="text1"/>
          <w:bottom w:val="single" w:sz="4" w:space="0" w:color="2A363B" w:themeColor="text1"/>
          <w:right w:val="single" w:sz="4" w:space="0" w:color="2A363B" w:themeColor="text1"/>
          <w:insideH w:val="nil"/>
        </w:tcBorders>
        <w:shd w:val="clear" w:color="auto" w:fill="2A363B" w:themeFill="text1"/>
      </w:tcPr>
    </w:tblStylePr>
    <w:tblStylePr w:type="lastRow">
      <w:rPr>
        <w:b/>
        <w:bCs/>
      </w:rPr>
      <w:tblPr/>
      <w:tcPr>
        <w:tcBorders>
          <w:top w:val="double" w:sz="4" w:space="0" w:color="6F8C9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8DD" w:themeFill="text1" w:themeFillTint="33"/>
      </w:tcPr>
    </w:tblStylePr>
    <w:tblStylePr w:type="band1Horz">
      <w:tblPr/>
      <w:tcPr>
        <w:shd w:val="clear" w:color="auto" w:fill="CFD8DD" w:themeFill="tex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D0B6E"/>
    <w:pPr>
      <w:outlineLvl w:val="9"/>
    </w:pPr>
  </w:style>
  <w:style w:type="paragraph" w:styleId="TOC1">
    <w:name w:val="toc 1"/>
    <w:basedOn w:val="Normal"/>
    <w:next w:val="Normal"/>
    <w:uiPriority w:val="39"/>
    <w:unhideWhenUsed/>
    <w:qFormat/>
    <w:rsid w:val="00E931A4"/>
    <w:pPr>
      <w:tabs>
        <w:tab w:val="clear" w:pos="2431"/>
        <w:tab w:val="right" w:leader="dot" w:pos="9350"/>
      </w:tabs>
      <w:spacing w:after="100"/>
    </w:pPr>
    <w:rPr>
      <w:rFonts w:cs="Segoe UI"/>
      <w:caps/>
      <w:noProof/>
    </w:rPr>
  </w:style>
  <w:style w:type="character" w:styleId="Hyperlink">
    <w:name w:val="Hyperlink"/>
    <w:basedOn w:val="DefaultParagraphFont"/>
    <w:uiPriority w:val="99"/>
    <w:unhideWhenUsed/>
    <w:rsid w:val="00FD0B6E"/>
    <w:rPr>
      <w:noProof/>
      <w:color w:val="2399BB" w:themeColor="hyperlink"/>
      <w:u w:val="single"/>
    </w:rPr>
  </w:style>
  <w:style w:type="paragraph" w:styleId="TOC2">
    <w:name w:val="toc 2"/>
    <w:basedOn w:val="TOC1"/>
    <w:next w:val="Normal"/>
    <w:uiPriority w:val="39"/>
    <w:unhideWhenUsed/>
    <w:qFormat/>
    <w:rsid w:val="00E931A4"/>
    <w:rPr>
      <w:caps w:val="0"/>
    </w:rPr>
  </w:style>
  <w:style w:type="paragraph" w:styleId="TOC3">
    <w:name w:val="toc 3"/>
    <w:basedOn w:val="Normal"/>
    <w:next w:val="Normal"/>
    <w:uiPriority w:val="39"/>
    <w:unhideWhenUsed/>
    <w:qFormat/>
    <w:rsid w:val="00E931A4"/>
    <w:pPr>
      <w:tabs>
        <w:tab w:val="clear" w:pos="2431"/>
        <w:tab w:val="right" w:leader="dot" w:pos="9360"/>
      </w:tabs>
      <w:spacing w:after="100"/>
      <w:ind w:left="440"/>
    </w:pPr>
    <w:rPr>
      <w:rFonts w:eastAsiaTheme="minorEastAsia" w:cs="Segoe UI"/>
      <w:noProof/>
    </w:rPr>
  </w:style>
  <w:style w:type="table" w:customStyle="1" w:styleId="SPPOfficialTableDefaultTable">
    <w:name w:val="SPP Official Table: Default Table"/>
    <w:basedOn w:val="TableNormal"/>
    <w:uiPriority w:val="99"/>
    <w:rsid w:val="00557CED"/>
    <w:pPr>
      <w:spacing w:after="0" w:line="240" w:lineRule="auto"/>
    </w:pPr>
    <w:rPr>
      <w:rFonts w:ascii="Segoe UI" w:hAnsi="Segoe UI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44" w:type="dxa"/>
        <w:left w:w="115" w:type="dxa"/>
        <w:right w:w="115" w:type="dxa"/>
      </w:tblCellMar>
    </w:tblPr>
    <w:tblStylePr w:type="firstRow">
      <w:pPr>
        <w:wordWrap/>
        <w:jc w:val="center"/>
      </w:pPr>
      <w:rPr>
        <w:rFonts w:ascii="Segoe UI" w:hAnsi="Segoe UI"/>
        <w:b/>
        <w:i w:val="0"/>
        <w:caps/>
        <w:smallCaps w:val="0"/>
        <w:color w:val="FFFFFF" w:themeColor="background1"/>
        <w:sz w:val="20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2399BB" w:themeFill="accent2"/>
      </w:tcPr>
    </w:tblStylePr>
    <w:tblStylePr w:type="lastRow">
      <w:rPr>
        <w:rFonts w:ascii="Segoe UI" w:hAnsi="Segoe UI"/>
        <w:b/>
        <w:sz w:val="20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</w:tcPr>
    </w:tblStylePr>
    <w:tblStylePr w:type="firstCol">
      <w:rPr>
        <w:rFonts w:ascii="Segoe UI" w:hAnsi="Segoe UI"/>
        <w:sz w:val="20"/>
      </w:rPr>
      <w:tblPr/>
      <w:tcPr>
        <w:tcBorders>
          <w:insideH w:val="nil"/>
          <w:insideV w:val="nil"/>
        </w:tcBorders>
      </w:tcPr>
    </w:tblStylePr>
    <w:tblStylePr w:type="lastCol">
      <w:tblPr/>
      <w:tcPr>
        <w:tcBorders>
          <w:insideH w:val="nil"/>
          <w:insideV w:val="nil"/>
        </w:tcBorders>
      </w:tcPr>
    </w:tblStylePr>
    <w:tblStylePr w:type="band1Vert">
      <w:tblPr/>
      <w:tcPr>
        <w:tcBorders>
          <w:insideH w:val="nil"/>
          <w:insideV w:val="nil"/>
        </w:tcBorders>
      </w:tcPr>
    </w:tblStylePr>
    <w:tblStylePr w:type="band2Vert">
      <w:tblPr/>
      <w:tcPr>
        <w:tcBorders>
          <w:insideH w:val="nil"/>
          <w:insideV w:val="nil"/>
        </w:tcBorders>
      </w:tcPr>
    </w:tblStylePr>
    <w:tblStylePr w:type="band1Horz">
      <w:rPr>
        <w:rFonts w:ascii="Segoe UI" w:hAnsi="Segoe UI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Segoe UI" w:hAnsi="Segoe UI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er">
    <w:name w:val="Table Header"/>
    <w:basedOn w:val="Normal"/>
    <w:qFormat/>
    <w:rsid w:val="00B43E31"/>
    <w:pPr>
      <w:jc w:val="center"/>
    </w:pPr>
    <w:rPr>
      <w:rFonts w:cs="Segoe UI"/>
      <w:bCs/>
      <w:cap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9A533B"/>
    <w:rPr>
      <w:rFonts w:ascii="Segoe UI" w:eastAsiaTheme="majorEastAsia" w:hAnsi="Segoe UI" w:cs="Segoe UI"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A533B"/>
    <w:rPr>
      <w:rFonts w:ascii="Segoe UI" w:eastAsiaTheme="majorEastAsia" w:hAnsi="Segoe UI" w:cs="Segoe UI"/>
      <w:i/>
      <w:sz w:val="24"/>
      <w:szCs w:val="24"/>
    </w:rPr>
  </w:style>
  <w:style w:type="table" w:styleId="ListTable4-Accent6">
    <w:name w:val="List Table 4 Accent 6"/>
    <w:basedOn w:val="TableNormal"/>
    <w:uiPriority w:val="49"/>
    <w:rsid w:val="00B43E31"/>
    <w:pPr>
      <w:spacing w:after="0" w:line="240" w:lineRule="auto"/>
    </w:pPr>
    <w:tblPr>
      <w:tblStyleRowBandSize w:val="1"/>
      <w:tblStyleColBandSize w:val="1"/>
      <w:tblBorders>
        <w:top w:val="single" w:sz="4" w:space="0" w:color="C9ADAD" w:themeColor="accent6" w:themeTint="99"/>
        <w:left w:val="single" w:sz="4" w:space="0" w:color="C9ADAD" w:themeColor="accent6" w:themeTint="99"/>
        <w:bottom w:val="single" w:sz="4" w:space="0" w:color="C9ADAD" w:themeColor="accent6" w:themeTint="99"/>
        <w:right w:val="single" w:sz="4" w:space="0" w:color="C9ADAD" w:themeColor="accent6" w:themeTint="99"/>
        <w:insideH w:val="single" w:sz="4" w:space="0" w:color="C9AD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7777" w:themeColor="accent6"/>
          <w:left w:val="single" w:sz="4" w:space="0" w:color="A67777" w:themeColor="accent6"/>
          <w:bottom w:val="single" w:sz="4" w:space="0" w:color="A67777" w:themeColor="accent6"/>
          <w:right w:val="single" w:sz="4" w:space="0" w:color="A67777" w:themeColor="accent6"/>
          <w:insideH w:val="nil"/>
        </w:tcBorders>
        <w:shd w:val="clear" w:color="auto" w:fill="A67777" w:themeFill="accent6"/>
      </w:tcPr>
    </w:tblStylePr>
    <w:tblStylePr w:type="lastRow">
      <w:rPr>
        <w:b/>
        <w:bCs/>
      </w:rPr>
      <w:tblPr/>
      <w:tcPr>
        <w:tcBorders>
          <w:top w:val="double" w:sz="4" w:space="0" w:color="C9AD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3E3" w:themeFill="accent6" w:themeFillTint="33"/>
      </w:tcPr>
    </w:tblStylePr>
    <w:tblStylePr w:type="band1Horz">
      <w:tblPr/>
      <w:tcPr>
        <w:shd w:val="clear" w:color="auto" w:fill="EDE3E3" w:themeFill="accent6" w:themeFillTint="33"/>
      </w:tcPr>
    </w:tblStylePr>
  </w:style>
  <w:style w:type="paragraph" w:customStyle="1" w:styleId="TableText">
    <w:name w:val="Table Text"/>
    <w:basedOn w:val="Normal"/>
    <w:qFormat/>
    <w:rsid w:val="00144B98"/>
    <w:rPr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4F6"/>
    <w:rPr>
      <w:rFonts w:asciiTheme="majorHAnsi" w:eastAsiaTheme="majorEastAsia" w:hAnsiTheme="majorHAnsi" w:cstheme="majorBidi"/>
      <w:i/>
      <w:iCs/>
      <w:color w:val="631017" w:themeColor="accent1" w:themeShade="7F"/>
    </w:rPr>
  </w:style>
  <w:style w:type="paragraph" w:styleId="ListParagraph">
    <w:name w:val="List Paragraph"/>
    <w:basedOn w:val="Normal"/>
    <w:uiPriority w:val="34"/>
    <w:qFormat/>
    <w:rsid w:val="0016227F"/>
    <w:pPr>
      <w:numPr>
        <w:numId w:val="1"/>
      </w:numPr>
    </w:pPr>
  </w:style>
  <w:style w:type="table" w:styleId="GridTable2-Accent2">
    <w:name w:val="Grid Table 2 Accent 2"/>
    <w:basedOn w:val="TableNormal"/>
    <w:uiPriority w:val="47"/>
    <w:rsid w:val="00CA754B"/>
    <w:pPr>
      <w:spacing w:after="0" w:line="240" w:lineRule="auto"/>
    </w:pPr>
    <w:tblPr>
      <w:tblStyleRowBandSize w:val="1"/>
      <w:tblStyleColBandSize w:val="1"/>
      <w:tblBorders>
        <w:top w:val="single" w:sz="2" w:space="0" w:color="6DC8E3" w:themeColor="accent2" w:themeTint="99"/>
        <w:bottom w:val="single" w:sz="2" w:space="0" w:color="6DC8E3" w:themeColor="accent2" w:themeTint="99"/>
        <w:insideH w:val="single" w:sz="2" w:space="0" w:color="6DC8E3" w:themeColor="accent2" w:themeTint="99"/>
        <w:insideV w:val="single" w:sz="2" w:space="0" w:color="6DC8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C8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C8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F6" w:themeFill="accent2" w:themeFillTint="33"/>
      </w:tcPr>
    </w:tblStylePr>
    <w:tblStylePr w:type="band1Horz">
      <w:tblPr/>
      <w:tcPr>
        <w:shd w:val="clear" w:color="auto" w:fill="CEECF6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CA754B"/>
    <w:pPr>
      <w:spacing w:after="0" w:line="240" w:lineRule="auto"/>
    </w:pPr>
    <w:tblPr>
      <w:tblStyleRowBandSize w:val="1"/>
      <w:tblStyleColBandSize w:val="1"/>
      <w:tblBorders>
        <w:top w:val="single" w:sz="4" w:space="0" w:color="6DC8E3" w:themeColor="accent2" w:themeTint="99"/>
        <w:left w:val="single" w:sz="4" w:space="0" w:color="6DC8E3" w:themeColor="accent2" w:themeTint="99"/>
        <w:bottom w:val="single" w:sz="4" w:space="0" w:color="6DC8E3" w:themeColor="accent2" w:themeTint="99"/>
        <w:right w:val="single" w:sz="4" w:space="0" w:color="6DC8E3" w:themeColor="accent2" w:themeTint="99"/>
        <w:insideH w:val="single" w:sz="4" w:space="0" w:color="6DC8E3" w:themeColor="accent2" w:themeTint="99"/>
        <w:insideV w:val="single" w:sz="4" w:space="0" w:color="6DC8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99BB" w:themeColor="accent2"/>
          <w:left w:val="single" w:sz="4" w:space="0" w:color="2399BB" w:themeColor="accent2"/>
          <w:bottom w:val="single" w:sz="4" w:space="0" w:color="2399BB" w:themeColor="accent2"/>
          <w:right w:val="single" w:sz="4" w:space="0" w:color="2399BB" w:themeColor="accent2"/>
          <w:insideH w:val="nil"/>
          <w:insideV w:val="nil"/>
        </w:tcBorders>
        <w:shd w:val="clear" w:color="auto" w:fill="2399BB" w:themeFill="accent2"/>
      </w:tcPr>
    </w:tblStylePr>
    <w:tblStylePr w:type="lastRow">
      <w:rPr>
        <w:b/>
        <w:bCs/>
      </w:rPr>
      <w:tblPr/>
      <w:tcPr>
        <w:tcBorders>
          <w:top w:val="double" w:sz="4" w:space="0" w:color="2399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F6" w:themeFill="accent2" w:themeFillTint="33"/>
      </w:tcPr>
    </w:tblStylePr>
    <w:tblStylePr w:type="band1Horz">
      <w:tblPr/>
      <w:tcPr>
        <w:shd w:val="clear" w:color="auto" w:fill="CEECF6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3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ABB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ABB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AB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757F"/>
    <w:pPr>
      <w:tabs>
        <w:tab w:val="clear" w:pos="2431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0311\Downloads\Report+Template+20190913.dotx" TargetMode="External"/></Relationships>
</file>

<file path=word/theme/theme1.xml><?xml version="1.0" encoding="utf-8"?>
<a:theme xmlns:a="http://schemas.openxmlformats.org/drawingml/2006/main" name="Office Theme">
  <a:themeElements>
    <a:clrScheme name="SPP Official Branding">
      <a:dk1>
        <a:srgbClr val="2A363B"/>
      </a:dk1>
      <a:lt1>
        <a:sysClr val="window" lastClr="FFFFFF"/>
      </a:lt1>
      <a:dk2>
        <a:srgbClr val="5A6770"/>
      </a:dk2>
      <a:lt2>
        <a:srgbClr val="E7E6E6"/>
      </a:lt2>
      <a:accent1>
        <a:srgbClr val="C7202F"/>
      </a:accent1>
      <a:accent2>
        <a:srgbClr val="2399BB"/>
      </a:accent2>
      <a:accent3>
        <a:srgbClr val="1FBF92"/>
      </a:accent3>
      <a:accent4>
        <a:srgbClr val="FBAB18"/>
      </a:accent4>
      <a:accent5>
        <a:srgbClr val="A142C0"/>
      </a:accent5>
      <a:accent6>
        <a:srgbClr val="A67777"/>
      </a:accent6>
      <a:hlink>
        <a:srgbClr val="2399BB"/>
      </a:hlink>
      <a:folHlink>
        <a:srgbClr val="FBAB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rik xmlns="1c4d59ec-3ca7-45ae-8048-ac80299584db">
      <UserInfo>
        <DisplayName/>
        <AccountId xsi:nil="true"/>
        <AccountType/>
      </UserInfo>
    </Henrik>
    <lcf76f155ced4ddcb4097134ff3c332f xmlns="1c4d59ec-3ca7-45ae-8048-ac80299584db">
      <Terms xmlns="http://schemas.microsoft.com/office/infopath/2007/PartnerControls"/>
    </lcf76f155ced4ddcb4097134ff3c332f>
    <TaxCatchAll xmlns="5e207819-3fdd-4ee3-a2f3-ad4d7cb836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0DCD48A7FCC408DC1127391EAAA44" ma:contentTypeVersion="16" ma:contentTypeDescription="Create a new document." ma:contentTypeScope="" ma:versionID="f4f138a7e4d7c217f775531f16d3f2b5">
  <xsd:schema xmlns:xsd="http://www.w3.org/2001/XMLSchema" xmlns:xs="http://www.w3.org/2001/XMLSchema" xmlns:p="http://schemas.microsoft.com/office/2006/metadata/properties" xmlns:ns2="1c4d59ec-3ca7-45ae-8048-ac80299584db" xmlns:ns3="5e207819-3fdd-4ee3-a2f3-ad4d7cb83613" targetNamespace="http://schemas.microsoft.com/office/2006/metadata/properties" ma:root="true" ma:fieldsID="e0ec8269fc4aae4cabeff524c01b3ae4" ns2:_="" ns3:_="">
    <xsd:import namespace="1c4d59ec-3ca7-45ae-8048-ac80299584db"/>
    <xsd:import namespace="5e207819-3fdd-4ee3-a2f3-ad4d7cb8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Henr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d59ec-3ca7-45ae-8048-ac8029958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174cf4-8bc1-4249-b783-7da8288d6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rik" ma:index="23" nillable="true" ma:displayName="Henrik" ma:format="Dropdown" ma:list="UserInfo" ma:SharePointGroup="0" ma:internalName="Henr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7819-3fdd-4ee3-a2f3-ad4d7cb83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50a7f2-253e-4017-9dce-cdccf0295658}" ma:internalName="TaxCatchAll" ma:showField="CatchAllData" ma:web="5e207819-3fdd-4ee3-a2f3-ad4d7cb8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0BD78-4BF9-4CF0-AF2C-E543F3405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B49CF-EE60-49B7-A8D6-9DC2534EB8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fc2e0c-33ed-4b27-8a87-9139d0d6dbcf"/>
    <ds:schemaRef ds:uri="bed21461-3e7e-4e2c-b85c-1f5990d46b17"/>
  </ds:schemaRefs>
</ds:datastoreItem>
</file>

<file path=customXml/itemProps3.xml><?xml version="1.0" encoding="utf-8"?>
<ds:datastoreItem xmlns:ds="http://schemas.openxmlformats.org/officeDocument/2006/customXml" ds:itemID="{2FBCA762-0BB6-4CD3-BD5E-D59C1450F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D9ADB-E755-4497-B509-A0A02271874F}"/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Report+Template+20190913</Template>
  <TotalTime>1</TotalTime>
  <Pages>3</Pages>
  <Words>598</Words>
  <Characters>3414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Pennel</dc:creator>
  <cp:keywords/>
  <dc:description/>
  <cp:lastModifiedBy>Tom Kleckner</cp:lastModifiedBy>
  <cp:revision>2</cp:revision>
  <dcterms:created xsi:type="dcterms:W3CDTF">2025-04-21T19:41:00Z</dcterms:created>
  <dcterms:modified xsi:type="dcterms:W3CDTF">2025-04-21T19:41:00Z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1a7b7893,6b4b239c,61455144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SPP Internal Only</vt:lpwstr>
  </property>
  <property fmtid="{D5CDD505-2E9C-101B-9397-08002B2CF9AE}" pid="5" name="MSIP_Label_22462c74-252a-40f3-94ee-5a25abdf097a_Enabled">
    <vt:lpwstr>true</vt:lpwstr>
  </property>
  <property fmtid="{D5CDD505-2E9C-101B-9397-08002B2CF9AE}" pid="6" name="MSIP_Label_22462c74-252a-40f3-94ee-5a25abdf097a_SetDate">
    <vt:lpwstr>2024-03-19T16:31:51Z</vt:lpwstr>
  </property>
  <property fmtid="{D5CDD505-2E9C-101B-9397-08002B2CF9AE}" pid="7" name="MSIP_Label_22462c74-252a-40f3-94ee-5a25abdf097a_Method">
    <vt:lpwstr>Standard</vt:lpwstr>
  </property>
  <property fmtid="{D5CDD505-2E9C-101B-9397-08002B2CF9AE}" pid="8" name="MSIP_Label_22462c74-252a-40f3-94ee-5a25abdf097a_Name">
    <vt:lpwstr>Internal</vt:lpwstr>
  </property>
  <property fmtid="{D5CDD505-2E9C-101B-9397-08002B2CF9AE}" pid="9" name="MSIP_Label_22462c74-252a-40f3-94ee-5a25abdf097a_SiteId">
    <vt:lpwstr>3230926a-71b7-4370-a137-197badc066a2</vt:lpwstr>
  </property>
  <property fmtid="{D5CDD505-2E9C-101B-9397-08002B2CF9AE}" pid="10" name="MSIP_Label_22462c74-252a-40f3-94ee-5a25abdf097a_ActionId">
    <vt:lpwstr>819a98a2-1f3a-4990-b570-d1436e6a604f</vt:lpwstr>
  </property>
  <property fmtid="{D5CDD505-2E9C-101B-9397-08002B2CF9AE}" pid="11" name="MSIP_Label_22462c74-252a-40f3-94ee-5a25abdf097a_ContentBits">
    <vt:lpwstr>2</vt:lpwstr>
  </property>
  <property fmtid="{D5CDD505-2E9C-101B-9397-08002B2CF9AE}" pid="12" name="ContentTypeId">
    <vt:lpwstr>0x0101000C90DCD48A7FCC408DC1127391EAAA44</vt:lpwstr>
  </property>
  <property fmtid="{D5CDD505-2E9C-101B-9397-08002B2CF9AE}" pid="13" name="MediaServiceImageTags">
    <vt:lpwstr/>
  </property>
</Properties>
</file>