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0ED4" w14:textId="3FD5A935" w:rsidR="00CF540B" w:rsidRDefault="00CF540B">
      <w:pPr>
        <w:tabs>
          <w:tab w:val="clear" w:pos="2431"/>
        </w:tabs>
        <w:spacing w:after="160" w:line="259" w:lineRule="auto"/>
        <w:rPr>
          <w:rFonts w:ascii="Segoe UI Semilight" w:hAnsi="Segoe UI Semilight" w:cs="Arial"/>
          <w:i/>
          <w:color w:val="767171" w:themeColor="background2" w:themeShade="80"/>
          <w:sz w:val="18"/>
          <w:szCs w:val="18"/>
        </w:rPr>
      </w:pPr>
    </w:p>
    <w:p w14:paraId="579A1A97" w14:textId="77777777" w:rsidR="00CF540B" w:rsidRDefault="00CF540B">
      <w:pPr>
        <w:pStyle w:val="Header"/>
        <w:rPr>
          <w:rFonts w:cs="Arial"/>
        </w:rPr>
      </w:pPr>
    </w:p>
    <w:p w14:paraId="66B2D434" w14:textId="54B1EB8B" w:rsidR="00A83C37" w:rsidRDefault="009A533B" w:rsidP="00A344F6">
      <w:pPr>
        <w:pStyle w:val="TableHeader"/>
        <w:sectPr w:rsidR="00A83C37" w:rsidSect="003D7CD1">
          <w:pgSz w:w="12240" w:h="15840"/>
          <w:pgMar w:top="1440" w:right="1440" w:bottom="1440" w:left="1440" w:header="720" w:footer="720" w:gutter="0"/>
          <w:cols w:space="720"/>
          <w:docGrid w:linePitch="360"/>
        </w:sectPr>
      </w:pPr>
      <w:r w:rsidRPr="009A533B">
        <w:rPr>
          <w:noProof/>
        </w:rPr>
        <mc:AlternateContent>
          <mc:Choice Requires="wps">
            <w:drawing>
              <wp:anchor distT="0" distB="0" distL="114300" distR="114300" simplePos="0" relativeHeight="251658242" behindDoc="0" locked="0" layoutInCell="1" allowOverlap="1" wp14:anchorId="4659DC78" wp14:editId="48A61AF9">
                <wp:simplePos x="0" y="0"/>
                <wp:positionH relativeFrom="margin">
                  <wp:posOffset>167005</wp:posOffset>
                </wp:positionH>
                <wp:positionV relativeFrom="page">
                  <wp:posOffset>7848600</wp:posOffset>
                </wp:positionV>
                <wp:extent cx="3901935" cy="142875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901935"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60295" w14:textId="37D729CF" w:rsidR="00E9663D" w:rsidRDefault="00E9663D" w:rsidP="00E9663D">
                            <w:r>
                              <w:t xml:space="preserve">By </w:t>
                            </w:r>
                            <w:r w:rsidR="009E50B2">
                              <w:t xml:space="preserve">the Future Grid </w:t>
                            </w:r>
                            <w:r w:rsidR="00CB4949">
                              <w:t>Strategy</w:t>
                            </w:r>
                            <w:r w:rsidR="009E50B2">
                              <w:t xml:space="preserve"> Advisory Group</w:t>
                            </w:r>
                          </w:p>
                          <w:p w14:paraId="18DDB864" w14:textId="059767C2" w:rsidR="009A533B" w:rsidRDefault="009A533B" w:rsidP="009A533B">
                            <w:r>
                              <w:t xml:space="preserve">Published on </w:t>
                            </w:r>
                            <w:r w:rsidR="007F6D06">
                              <w:t>October 1, 2024</w:t>
                            </w:r>
                          </w:p>
                          <w:p w14:paraId="0CF798E4" w14:textId="6882BD2F" w:rsidR="009A533B" w:rsidRDefault="009A533B" w:rsidP="009A533B">
                            <w:r>
                              <w:t xml:space="preserve">Version </w:t>
                            </w:r>
                            <w:r w:rsidR="007F6D06">
                              <w:t>1.0</w:t>
                            </w:r>
                          </w:p>
                          <w:p w14:paraId="11B12C64" w14:textId="77777777" w:rsidR="009A533B" w:rsidRPr="00A9550B" w:rsidRDefault="009A533B" w:rsidP="009A5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9DC78" id="_x0000_t202" coordsize="21600,21600" o:spt="202" path="m,l,21600r21600,l21600,xe">
                <v:stroke joinstyle="miter"/>
                <v:path gradientshapeok="t" o:connecttype="rect"/>
              </v:shapetype>
              <v:shape id="Text Box 3" o:spid="_x0000_s1026" type="#_x0000_t202" style="position:absolute;left:0;text-align:left;margin-left:13.15pt;margin-top:618pt;width:307.25pt;height:11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" fillcolor="white [3201]" stroked="f" strokeweight=".5pt">
                <v:textbox>
                  <w:txbxContent>
                    <w:p w14:paraId="00460295" w14:textId="37D729CF" w:rsidR="00E9663D" w:rsidRDefault="00E9663D" w:rsidP="00E9663D">
                      <w:r>
                        <w:t xml:space="preserve">By </w:t>
                      </w:r>
                      <w:r w:rsidR="009E50B2">
                        <w:t xml:space="preserve">the Future Grid </w:t>
                      </w:r>
                      <w:r w:rsidR="00CB4949">
                        <w:t>Strategy</w:t>
                      </w:r>
                      <w:r w:rsidR="009E50B2">
                        <w:t xml:space="preserve"> Advisory Group</w:t>
                      </w:r>
                    </w:p>
                    <w:p w14:paraId="18DDB864" w14:textId="059767C2" w:rsidR="009A533B" w:rsidRDefault="009A533B" w:rsidP="009A533B">
                      <w:r>
                        <w:t xml:space="preserve">Published on </w:t>
                      </w:r>
                      <w:r w:rsidR="007F6D06">
                        <w:t>October 1, 2024</w:t>
                      </w:r>
                    </w:p>
                    <w:p w14:paraId="0CF798E4" w14:textId="6882BD2F" w:rsidR="009A533B" w:rsidRDefault="009A533B" w:rsidP="009A533B">
                      <w:r>
                        <w:t xml:space="preserve">Version </w:t>
                      </w:r>
                      <w:r w:rsidR="007F6D06">
                        <w:t>1.0</w:t>
                      </w:r>
                    </w:p>
                    <w:p w14:paraId="11B12C64" w14:textId="77777777" w:rsidR="009A533B" w:rsidRPr="00A9550B" w:rsidRDefault="009A533B" w:rsidP="009A533B"/>
                  </w:txbxContent>
                </v:textbox>
                <w10:wrap anchorx="margin" anchory="page"/>
              </v:shape>
            </w:pict>
          </mc:Fallback>
        </mc:AlternateContent>
      </w:r>
      <w:r w:rsidRPr="009A533B">
        <w:rPr>
          <w:noProof/>
        </w:rPr>
        <mc:AlternateContent>
          <mc:Choice Requires="wps">
            <w:drawing>
              <wp:anchor distT="0" distB="0" distL="114300" distR="114300" simplePos="0" relativeHeight="251658241" behindDoc="0" locked="0" layoutInCell="1" allowOverlap="1" wp14:anchorId="4304F8AF" wp14:editId="30C52379">
                <wp:simplePos x="0" y="0"/>
                <wp:positionH relativeFrom="margin">
                  <wp:align>center</wp:align>
                </wp:positionH>
                <wp:positionV relativeFrom="margin">
                  <wp:posOffset>1790700</wp:posOffset>
                </wp:positionV>
                <wp:extent cx="5686425" cy="2019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86425" cy="201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B1164" w14:textId="41842F45" w:rsidR="009A533B" w:rsidRPr="003A0A76" w:rsidRDefault="009D343F" w:rsidP="009A533B">
                            <w:pPr>
                              <w:pStyle w:val="Title"/>
                            </w:pPr>
                            <w:r>
                              <w:t>Grid of the Future</w:t>
                            </w:r>
                          </w:p>
                          <w:p w14:paraId="3E76F2E8" w14:textId="4B4B0065" w:rsidR="009A533B" w:rsidRPr="003A0A76" w:rsidRDefault="009D343F" w:rsidP="009A533B">
                            <w:pPr>
                              <w:pStyle w:val="Subtitle"/>
                            </w:pPr>
                            <w:r>
                              <w:t>2024 Addendum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F8AF" id="Text Box 2" o:spid="_x0000_s1027" type="#_x0000_t202" style="position:absolute;left:0;text-align:left;margin-left:0;margin-top:141pt;width:447.75pt;height:15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" filled="f" stroked="f" strokeweight=".5pt">
                <v:textbox>
                  <w:txbxContent>
                    <w:p w14:paraId="191B1164" w14:textId="41842F45" w:rsidR="009A533B" w:rsidRPr="003A0A76" w:rsidRDefault="009D343F" w:rsidP="009A533B">
                      <w:pPr>
                        <w:pStyle w:val="Title"/>
                      </w:pPr>
                      <w:r>
                        <w:t>Grid of the Future</w:t>
                      </w:r>
                    </w:p>
                    <w:p w14:paraId="3E76F2E8" w14:textId="4B4B0065" w:rsidR="009A533B" w:rsidRPr="003A0A76" w:rsidRDefault="009D343F" w:rsidP="009A533B">
                      <w:pPr>
                        <w:pStyle w:val="Subtitle"/>
                      </w:pPr>
                      <w:r>
                        <w:t>2024 Addendum</w:t>
                      </w:r>
                    </w:p>
                  </w:txbxContent>
                </v:textbox>
                <w10:wrap type="square" anchorx="margin" anchory="margin"/>
              </v:shape>
            </w:pict>
          </mc:Fallback>
        </mc:AlternateContent>
      </w:r>
      <w:r>
        <w:rPr>
          <w:noProof/>
        </w:rPr>
        <w:drawing>
          <wp:anchor distT="0" distB="0" distL="114300" distR="114300" simplePos="0" relativeHeight="251658240" behindDoc="0" locked="0" layoutInCell="1" allowOverlap="1" wp14:anchorId="15EEAC5B" wp14:editId="39FE59A2">
            <wp:simplePos x="0" y="0"/>
            <wp:positionH relativeFrom="margin">
              <wp:align>left</wp:align>
            </wp:positionH>
            <wp:positionV relativeFrom="margin">
              <wp:posOffset>952500</wp:posOffset>
            </wp:positionV>
            <wp:extent cx="1905000" cy="655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P Logo - Repo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655320"/>
                    </a:xfrm>
                    <a:prstGeom prst="rect">
                      <a:avLst/>
                    </a:prstGeom>
                  </pic:spPr>
                </pic:pic>
              </a:graphicData>
            </a:graphic>
            <wp14:sizeRelH relativeFrom="margin">
              <wp14:pctWidth>0</wp14:pctWidth>
            </wp14:sizeRelH>
            <wp14:sizeRelV relativeFrom="margin">
              <wp14:pctHeight>0</wp14:pctHeight>
            </wp14:sizeRelV>
          </wp:anchor>
        </w:drawing>
      </w:r>
    </w:p>
    <w:p w14:paraId="7583B8FC" w14:textId="77777777" w:rsidR="00A83C37" w:rsidRPr="00BB7746" w:rsidRDefault="00984A12" w:rsidP="009A533B">
      <w:pPr>
        <w:pStyle w:val="Heading1"/>
      </w:pPr>
      <w:bookmarkStart w:id="0" w:name="_Toc178834436"/>
      <w:r w:rsidRPr="00BB7746">
        <w:rPr>
          <w:rStyle w:val="Heading1Char"/>
          <w:caps/>
        </w:rPr>
        <w:lastRenderedPageBreak/>
        <w:t>R</w:t>
      </w:r>
      <w:r w:rsidR="00641DC0" w:rsidRPr="00BB7746">
        <w:rPr>
          <w:rStyle w:val="Heading1Char"/>
          <w:caps/>
        </w:rPr>
        <w:t xml:space="preserve">evision </w:t>
      </w:r>
      <w:r w:rsidRPr="00BB7746">
        <w:rPr>
          <w:rStyle w:val="Heading1Char"/>
          <w:caps/>
        </w:rPr>
        <w:t>H</w:t>
      </w:r>
      <w:r w:rsidR="00641DC0" w:rsidRPr="00BB7746">
        <w:rPr>
          <w:rStyle w:val="Heading1Char"/>
          <w:caps/>
        </w:rPr>
        <w:t>istory</w:t>
      </w:r>
      <w:bookmarkEnd w:id="0"/>
    </w:p>
    <w:tbl>
      <w:tblPr>
        <w:tblStyle w:val="SPPOfficialTableDefaultTable"/>
        <w:tblW w:w="0" w:type="auto"/>
        <w:tblBorders>
          <w:insideH w:val="single" w:sz="8" w:space="0" w:color="FFFFFF" w:themeColor="background1"/>
          <w:insideV w:val="single" w:sz="8" w:space="0" w:color="FFFFFF" w:themeColor="background1"/>
        </w:tblBorders>
        <w:tblLook w:val="0420" w:firstRow="1" w:lastRow="0" w:firstColumn="0" w:lastColumn="0" w:noHBand="0" w:noVBand="1"/>
      </w:tblPr>
      <w:tblGrid>
        <w:gridCol w:w="2337"/>
        <w:gridCol w:w="2337"/>
        <w:gridCol w:w="2338"/>
        <w:gridCol w:w="2338"/>
      </w:tblGrid>
      <w:tr w:rsidR="00B43E31" w:rsidRPr="0091332F" w14:paraId="643D8506" w14:textId="77777777" w:rsidTr="00E624D7">
        <w:trPr>
          <w:cnfStyle w:val="100000000000" w:firstRow="1" w:lastRow="0" w:firstColumn="0" w:lastColumn="0" w:oddVBand="0" w:evenVBand="0" w:oddHBand="0" w:evenHBand="0" w:firstRowFirstColumn="0" w:firstRowLastColumn="0" w:lastRowFirstColumn="0" w:lastRowLastColumn="0"/>
        </w:trPr>
        <w:tc>
          <w:tcPr>
            <w:tcW w:w="2337" w:type="dxa"/>
          </w:tcPr>
          <w:p w14:paraId="595CA38A"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Date or version number</w:t>
            </w:r>
          </w:p>
        </w:tc>
        <w:tc>
          <w:tcPr>
            <w:tcW w:w="2337" w:type="dxa"/>
          </w:tcPr>
          <w:p w14:paraId="51FAD90C"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Author</w:t>
            </w:r>
          </w:p>
        </w:tc>
        <w:tc>
          <w:tcPr>
            <w:tcW w:w="2338" w:type="dxa"/>
          </w:tcPr>
          <w:p w14:paraId="1F657B20"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Change Description</w:t>
            </w:r>
          </w:p>
        </w:tc>
        <w:tc>
          <w:tcPr>
            <w:tcW w:w="2338" w:type="dxa"/>
          </w:tcPr>
          <w:p w14:paraId="13314555" w14:textId="77777777" w:rsidR="00641DC0" w:rsidRPr="00B43E31" w:rsidRDefault="00641DC0" w:rsidP="009A533B">
            <w:pPr>
              <w:pStyle w:val="TableHeader"/>
              <w:rPr>
                <w:rFonts w:ascii="Segoe UI Bold" w:hAnsi="Segoe UI Bold"/>
                <w:b w:val="0"/>
                <w:caps/>
              </w:rPr>
            </w:pPr>
            <w:r w:rsidRPr="00B43E31">
              <w:rPr>
                <w:rFonts w:ascii="Segoe UI Bold" w:hAnsi="Segoe UI Bold"/>
                <w:b w:val="0"/>
                <w:caps/>
              </w:rPr>
              <w:t>Comments</w:t>
            </w:r>
          </w:p>
        </w:tc>
      </w:tr>
      <w:tr w:rsidR="00B43E31" w14:paraId="37B858AB" w14:textId="77777777" w:rsidTr="00E624D7">
        <w:trPr>
          <w:cnfStyle w:val="000000100000" w:firstRow="0" w:lastRow="0" w:firstColumn="0" w:lastColumn="0" w:oddVBand="0" w:evenVBand="0" w:oddHBand="1" w:evenHBand="0" w:firstRowFirstColumn="0" w:firstRowLastColumn="0" w:lastRowFirstColumn="0" w:lastRowLastColumn="0"/>
        </w:trPr>
        <w:tc>
          <w:tcPr>
            <w:tcW w:w="2337" w:type="dxa"/>
          </w:tcPr>
          <w:p w14:paraId="27252B65" w14:textId="5955BE11" w:rsidR="00641DC0" w:rsidRPr="0091332F" w:rsidRDefault="001C5413" w:rsidP="009A533B">
            <w:r>
              <w:t>0.1</w:t>
            </w:r>
          </w:p>
        </w:tc>
        <w:tc>
          <w:tcPr>
            <w:tcW w:w="2337" w:type="dxa"/>
          </w:tcPr>
          <w:p w14:paraId="57FE90F7" w14:textId="52649527" w:rsidR="00641DC0" w:rsidRPr="0091332F" w:rsidRDefault="001C5413" w:rsidP="00144B98">
            <w:pPr>
              <w:pStyle w:val="TableText"/>
            </w:pPr>
            <w:r>
              <w:t>Sam Ellis</w:t>
            </w:r>
          </w:p>
        </w:tc>
        <w:tc>
          <w:tcPr>
            <w:tcW w:w="2338" w:type="dxa"/>
          </w:tcPr>
          <w:p w14:paraId="5C0C3450" w14:textId="621E7218" w:rsidR="00641DC0" w:rsidRPr="0091332F" w:rsidRDefault="005A27B3" w:rsidP="009A533B">
            <w:r>
              <w:t xml:space="preserve">Initial </w:t>
            </w:r>
            <w:r w:rsidR="00310D7F">
              <w:t>draft consolidating internally developed white-papers.</w:t>
            </w:r>
          </w:p>
        </w:tc>
        <w:tc>
          <w:tcPr>
            <w:tcW w:w="2338" w:type="dxa"/>
          </w:tcPr>
          <w:p w14:paraId="5B3FC012" w14:textId="77777777" w:rsidR="00641DC0" w:rsidRPr="0091332F" w:rsidRDefault="00641DC0" w:rsidP="009A533B"/>
        </w:tc>
      </w:tr>
      <w:tr w:rsidR="00641DC0" w14:paraId="3782C376" w14:textId="77777777" w:rsidTr="00E624D7">
        <w:trPr>
          <w:cnfStyle w:val="000000010000" w:firstRow="0" w:lastRow="0" w:firstColumn="0" w:lastColumn="0" w:oddVBand="0" w:evenVBand="0" w:oddHBand="0" w:evenHBand="1" w:firstRowFirstColumn="0" w:firstRowLastColumn="0" w:lastRowFirstColumn="0" w:lastRowLastColumn="0"/>
        </w:trPr>
        <w:tc>
          <w:tcPr>
            <w:tcW w:w="2337" w:type="dxa"/>
          </w:tcPr>
          <w:p w14:paraId="362E61B4" w14:textId="2878878B" w:rsidR="00641DC0" w:rsidRPr="0091332F" w:rsidRDefault="005A27B3" w:rsidP="009A533B">
            <w:r>
              <w:t>0.2</w:t>
            </w:r>
          </w:p>
        </w:tc>
        <w:tc>
          <w:tcPr>
            <w:tcW w:w="2337" w:type="dxa"/>
          </w:tcPr>
          <w:p w14:paraId="2C66F81B" w14:textId="1774CAB1" w:rsidR="00641DC0" w:rsidRPr="0091332F" w:rsidRDefault="005A27B3" w:rsidP="009A533B">
            <w:r>
              <w:t>Sam Ellis / Mark Hodges / April Wingfield</w:t>
            </w:r>
          </w:p>
        </w:tc>
        <w:tc>
          <w:tcPr>
            <w:tcW w:w="2338" w:type="dxa"/>
          </w:tcPr>
          <w:p w14:paraId="0548E2C1" w14:textId="444F0B3D" w:rsidR="00641DC0" w:rsidRPr="0091332F" w:rsidRDefault="003348D7" w:rsidP="009A533B">
            <w:r>
              <w:t xml:space="preserve">Added </w:t>
            </w:r>
            <w:r w:rsidR="0053328D">
              <w:t xml:space="preserve">appendix tables and </w:t>
            </w:r>
            <w:r w:rsidR="00E475CB">
              <w:t xml:space="preserve">introduction paragraphs.  </w:t>
            </w:r>
            <w:r w:rsidR="0056016F">
              <w:t xml:space="preserve">Initiated </w:t>
            </w:r>
            <w:r w:rsidR="00AE67D8">
              <w:t>additional change tracking and published for additional input.</w:t>
            </w:r>
          </w:p>
        </w:tc>
        <w:tc>
          <w:tcPr>
            <w:tcW w:w="2338" w:type="dxa"/>
          </w:tcPr>
          <w:p w14:paraId="582FA967" w14:textId="77777777" w:rsidR="00641DC0" w:rsidRPr="0091332F" w:rsidRDefault="00641DC0" w:rsidP="009A533B"/>
        </w:tc>
      </w:tr>
      <w:tr w:rsidR="00B43E31" w14:paraId="7537B6A0" w14:textId="77777777" w:rsidTr="00E624D7">
        <w:trPr>
          <w:cnfStyle w:val="000000100000" w:firstRow="0" w:lastRow="0" w:firstColumn="0" w:lastColumn="0" w:oddVBand="0" w:evenVBand="0" w:oddHBand="1" w:evenHBand="0" w:firstRowFirstColumn="0" w:firstRowLastColumn="0" w:lastRowFirstColumn="0" w:lastRowLastColumn="0"/>
        </w:trPr>
        <w:tc>
          <w:tcPr>
            <w:tcW w:w="2337" w:type="dxa"/>
          </w:tcPr>
          <w:p w14:paraId="2E91670D" w14:textId="533036AE" w:rsidR="00641DC0" w:rsidRPr="0091332F" w:rsidRDefault="003C193E" w:rsidP="009A533B">
            <w:r>
              <w:t>0.3</w:t>
            </w:r>
          </w:p>
        </w:tc>
        <w:tc>
          <w:tcPr>
            <w:tcW w:w="2337" w:type="dxa"/>
          </w:tcPr>
          <w:p w14:paraId="1B2B27C1" w14:textId="4B5BFA94" w:rsidR="00641DC0" w:rsidRPr="0091332F" w:rsidRDefault="003C193E" w:rsidP="009A533B">
            <w:r>
              <w:t>Sam Ellis</w:t>
            </w:r>
          </w:p>
        </w:tc>
        <w:tc>
          <w:tcPr>
            <w:tcW w:w="2338" w:type="dxa"/>
          </w:tcPr>
          <w:p w14:paraId="61A0DC45" w14:textId="5ECFBD0F" w:rsidR="00641DC0" w:rsidRPr="0091332F" w:rsidRDefault="006C7FB9" w:rsidP="009A533B">
            <w:r>
              <w:t>Changes</w:t>
            </w:r>
            <w:r w:rsidR="003C193E">
              <w:t xml:space="preserve"> to address feedback from 6/24/24 </w:t>
            </w:r>
            <w:r w:rsidR="007C18EC">
              <w:t xml:space="preserve">FGSAG meeting and other minor </w:t>
            </w:r>
            <w:r>
              <w:t>edits</w:t>
            </w:r>
          </w:p>
        </w:tc>
        <w:tc>
          <w:tcPr>
            <w:tcW w:w="2338" w:type="dxa"/>
          </w:tcPr>
          <w:p w14:paraId="732F3601" w14:textId="77777777" w:rsidR="00641DC0" w:rsidRPr="0091332F" w:rsidRDefault="00641DC0" w:rsidP="009A533B"/>
        </w:tc>
      </w:tr>
      <w:tr w:rsidR="001149AA" w14:paraId="02DA9CFA" w14:textId="77777777" w:rsidTr="00E624D7">
        <w:trPr>
          <w:cnfStyle w:val="000000010000" w:firstRow="0" w:lastRow="0" w:firstColumn="0" w:lastColumn="0" w:oddVBand="0" w:evenVBand="0" w:oddHBand="0" w:evenHBand="1" w:firstRowFirstColumn="0" w:firstRowLastColumn="0" w:lastRowFirstColumn="0" w:lastRowLastColumn="0"/>
        </w:trPr>
        <w:tc>
          <w:tcPr>
            <w:tcW w:w="2337" w:type="dxa"/>
          </w:tcPr>
          <w:p w14:paraId="29669E95" w14:textId="1D64D681" w:rsidR="001149AA" w:rsidRDefault="001149AA" w:rsidP="009A533B">
            <w:r>
              <w:t>0.4</w:t>
            </w:r>
            <w:r w:rsidR="00D04113">
              <w:t xml:space="preserve"> (Revised)</w:t>
            </w:r>
          </w:p>
        </w:tc>
        <w:tc>
          <w:tcPr>
            <w:tcW w:w="2337" w:type="dxa"/>
          </w:tcPr>
          <w:p w14:paraId="60DE873A" w14:textId="40FFCDB5" w:rsidR="001149AA" w:rsidRDefault="001149AA" w:rsidP="009A533B">
            <w:r>
              <w:t>Sam Ellis</w:t>
            </w:r>
          </w:p>
        </w:tc>
        <w:tc>
          <w:tcPr>
            <w:tcW w:w="2338" w:type="dxa"/>
          </w:tcPr>
          <w:p w14:paraId="0DF0EB23" w14:textId="77777777" w:rsidR="001149AA" w:rsidRDefault="000045E7" w:rsidP="009A533B">
            <w:r>
              <w:t xml:space="preserve">Update recommendation with language proposed by staff. </w:t>
            </w:r>
          </w:p>
          <w:p w14:paraId="53F6B8C0" w14:textId="229819E6" w:rsidR="00BD6A82" w:rsidRDefault="00BD6A82" w:rsidP="009A533B">
            <w:r>
              <w:t>Further revised to reflect edits by Mark Ahlstrom prior to 8/12/24 FGSAG discussion.</w:t>
            </w:r>
          </w:p>
        </w:tc>
        <w:tc>
          <w:tcPr>
            <w:tcW w:w="2338" w:type="dxa"/>
          </w:tcPr>
          <w:p w14:paraId="3B1A812E" w14:textId="77777777" w:rsidR="001149AA" w:rsidRPr="0091332F" w:rsidRDefault="001149AA" w:rsidP="009A533B"/>
        </w:tc>
      </w:tr>
      <w:tr w:rsidR="0069576E" w14:paraId="0D115010" w14:textId="77777777" w:rsidTr="00E624D7">
        <w:trPr>
          <w:cnfStyle w:val="000000100000" w:firstRow="0" w:lastRow="0" w:firstColumn="0" w:lastColumn="0" w:oddVBand="0" w:evenVBand="0" w:oddHBand="1" w:evenHBand="0" w:firstRowFirstColumn="0" w:firstRowLastColumn="0" w:lastRowFirstColumn="0" w:lastRowLastColumn="0"/>
        </w:trPr>
        <w:tc>
          <w:tcPr>
            <w:tcW w:w="2337" w:type="dxa"/>
          </w:tcPr>
          <w:p w14:paraId="77EBBCB4" w14:textId="78BF5859" w:rsidR="0069576E" w:rsidRDefault="0069576E" w:rsidP="009A533B">
            <w:r>
              <w:t>0.5</w:t>
            </w:r>
          </w:p>
        </w:tc>
        <w:tc>
          <w:tcPr>
            <w:tcW w:w="2337" w:type="dxa"/>
          </w:tcPr>
          <w:p w14:paraId="29B34AFD" w14:textId="10547C57" w:rsidR="0069576E" w:rsidRDefault="0069576E" w:rsidP="009A533B">
            <w:r>
              <w:t>Sam Ellis</w:t>
            </w:r>
          </w:p>
        </w:tc>
        <w:tc>
          <w:tcPr>
            <w:tcW w:w="2338" w:type="dxa"/>
          </w:tcPr>
          <w:p w14:paraId="5E50A0A7" w14:textId="0392BD3C" w:rsidR="0069576E" w:rsidRDefault="0069576E" w:rsidP="009A533B">
            <w:r>
              <w:t>Address revisions by FGSAG during the 8/12/24 meeting</w:t>
            </w:r>
          </w:p>
        </w:tc>
        <w:tc>
          <w:tcPr>
            <w:tcW w:w="2338" w:type="dxa"/>
          </w:tcPr>
          <w:p w14:paraId="56301137" w14:textId="77777777" w:rsidR="0069576E" w:rsidRPr="0091332F" w:rsidRDefault="0069576E" w:rsidP="009A533B"/>
        </w:tc>
      </w:tr>
      <w:tr w:rsidR="00361B04" w14:paraId="21AFB31D" w14:textId="77777777" w:rsidTr="00E624D7">
        <w:trPr>
          <w:cnfStyle w:val="000000010000" w:firstRow="0" w:lastRow="0" w:firstColumn="0" w:lastColumn="0" w:oddVBand="0" w:evenVBand="0" w:oddHBand="0" w:evenHBand="1" w:firstRowFirstColumn="0" w:firstRowLastColumn="0" w:lastRowFirstColumn="0" w:lastRowLastColumn="0"/>
        </w:trPr>
        <w:tc>
          <w:tcPr>
            <w:tcW w:w="2337" w:type="dxa"/>
          </w:tcPr>
          <w:p w14:paraId="6199EE47" w14:textId="0A62A0CD" w:rsidR="00361B04" w:rsidRDefault="00361B04" w:rsidP="009A533B">
            <w:r>
              <w:t>0.6</w:t>
            </w:r>
          </w:p>
        </w:tc>
        <w:tc>
          <w:tcPr>
            <w:tcW w:w="2337" w:type="dxa"/>
          </w:tcPr>
          <w:p w14:paraId="69570D41" w14:textId="63E5170F" w:rsidR="00361B04" w:rsidRDefault="00361B04" w:rsidP="009A533B">
            <w:r>
              <w:t>Sam Ellis</w:t>
            </w:r>
          </w:p>
        </w:tc>
        <w:tc>
          <w:tcPr>
            <w:tcW w:w="2338" w:type="dxa"/>
          </w:tcPr>
          <w:p w14:paraId="4BA4734B" w14:textId="560AD47F" w:rsidR="00361B04" w:rsidRDefault="00361B04" w:rsidP="009A533B">
            <w:r>
              <w:t>Reflects further edits from FGSAG member</w:t>
            </w:r>
            <w:r w:rsidR="008C750D">
              <w:t>s</w:t>
            </w:r>
          </w:p>
        </w:tc>
        <w:tc>
          <w:tcPr>
            <w:tcW w:w="2338" w:type="dxa"/>
          </w:tcPr>
          <w:p w14:paraId="7EE7E7AC" w14:textId="77777777" w:rsidR="00361B04" w:rsidRPr="0091332F" w:rsidRDefault="00361B04" w:rsidP="009A533B"/>
        </w:tc>
      </w:tr>
      <w:tr w:rsidR="007F6D06" w14:paraId="74B0419F" w14:textId="77777777" w:rsidTr="00E624D7">
        <w:trPr>
          <w:cnfStyle w:val="000000100000" w:firstRow="0" w:lastRow="0" w:firstColumn="0" w:lastColumn="0" w:oddVBand="0" w:evenVBand="0" w:oddHBand="1" w:evenHBand="0" w:firstRowFirstColumn="0" w:firstRowLastColumn="0" w:lastRowFirstColumn="0" w:lastRowLastColumn="0"/>
        </w:trPr>
        <w:tc>
          <w:tcPr>
            <w:tcW w:w="2337" w:type="dxa"/>
          </w:tcPr>
          <w:p w14:paraId="7E2D8996" w14:textId="3EDFA545" w:rsidR="007F6D06" w:rsidRDefault="007F6D06" w:rsidP="009A533B">
            <w:r>
              <w:lastRenderedPageBreak/>
              <w:t>1.0</w:t>
            </w:r>
          </w:p>
        </w:tc>
        <w:tc>
          <w:tcPr>
            <w:tcW w:w="2337" w:type="dxa"/>
          </w:tcPr>
          <w:p w14:paraId="34043FF5" w14:textId="00E9F984" w:rsidR="007F6D06" w:rsidRDefault="007F6D06" w:rsidP="009A533B">
            <w:r>
              <w:t>Mark Hodges</w:t>
            </w:r>
          </w:p>
        </w:tc>
        <w:tc>
          <w:tcPr>
            <w:tcW w:w="2338" w:type="dxa"/>
          </w:tcPr>
          <w:p w14:paraId="7590AF2C" w14:textId="77777777" w:rsidR="007F6D06" w:rsidRDefault="007F6D06" w:rsidP="009A533B">
            <w:r>
              <w:t xml:space="preserve">Moved to release version 1.0.  This version is the approved version as voted by the FGSAG Members in the FGSAG Meeting held 10/1/2024.  </w:t>
            </w:r>
          </w:p>
          <w:p w14:paraId="221670FF" w14:textId="5158FBF7" w:rsidR="007F6D06" w:rsidRDefault="007F6D06" w:rsidP="009A533B">
            <w:r>
              <w:t>This version also includes prioritization levels for each recommendation as voted by the FGSAG members for those items able to be prioritized.  For recommendations reflect agreement to continue involvement or develop future recommendations, those do not include a prioritization level but were all unanimously accepted by the FGSAG Members.</w:t>
            </w:r>
          </w:p>
        </w:tc>
        <w:tc>
          <w:tcPr>
            <w:tcW w:w="2338" w:type="dxa"/>
          </w:tcPr>
          <w:p w14:paraId="51F9BC0E" w14:textId="77777777" w:rsidR="007F6D06" w:rsidRPr="0091332F" w:rsidRDefault="007F6D06" w:rsidP="009A533B"/>
        </w:tc>
      </w:tr>
    </w:tbl>
    <w:p w14:paraId="75661879" w14:textId="77777777" w:rsidR="00984A12" w:rsidRDefault="00984A12" w:rsidP="009A533B"/>
    <w:p w14:paraId="68C5E000" w14:textId="77777777" w:rsidR="00945429" w:rsidRDefault="00945429" w:rsidP="009A533B"/>
    <w:p w14:paraId="0A2F5E8F" w14:textId="77777777" w:rsidR="00E624D7" w:rsidRDefault="00E624D7" w:rsidP="009A533B">
      <w:pPr>
        <w:sectPr w:rsidR="00E624D7" w:rsidSect="003D7CD1">
          <w:headerReference w:type="default" r:id="rId12"/>
          <w:footerReference w:type="even" r:id="rId13"/>
          <w:footerReference w:type="default" r:id="rId14"/>
          <w:footerReference w:type="first" r:id="rId15"/>
          <w:pgSz w:w="12240" w:h="15840"/>
          <w:pgMar w:top="1440" w:right="1440" w:bottom="1440" w:left="1440" w:header="720" w:footer="720" w:gutter="0"/>
          <w:pgNumType w:fmt="lowerRoman" w:start="1"/>
          <w:cols w:space="720"/>
          <w:docGrid w:linePitch="360"/>
        </w:sectPr>
      </w:pPr>
    </w:p>
    <w:sdt>
      <w:sdtPr>
        <w:rPr>
          <w:rFonts w:ascii="Cambria" w:eastAsiaTheme="minorEastAsia" w:hAnsi="Cambria" w:cstheme="minorBidi"/>
          <w:caps w:val="0"/>
          <w:color w:val="auto"/>
          <w:sz w:val="22"/>
          <w:szCs w:val="22"/>
        </w:rPr>
        <w:id w:val="263967951"/>
        <w:docPartObj>
          <w:docPartGallery w:val="Table of Contents"/>
          <w:docPartUnique/>
        </w:docPartObj>
      </w:sdtPr>
      <w:sdtEndPr>
        <w:rPr>
          <w:rFonts w:ascii="Segoe UI" w:hAnsi="Segoe UI"/>
        </w:rPr>
      </w:sdtEndPr>
      <w:sdtContent>
        <w:p w14:paraId="564B3F68" w14:textId="77777777" w:rsidR="00984A12" w:rsidRDefault="00984A12" w:rsidP="009A533B">
          <w:pPr>
            <w:pStyle w:val="TOCHeading"/>
          </w:pPr>
          <w:r w:rsidRPr="00BB7746">
            <w:t>Contents</w:t>
          </w:r>
        </w:p>
        <w:p w14:paraId="57943103" w14:textId="0C12B219" w:rsidR="00DF04FD" w:rsidRDefault="00984A12">
          <w:pPr>
            <w:pStyle w:val="TOC1"/>
            <w:rPr>
              <w:rFonts w:asciiTheme="minorHAnsi" w:eastAsiaTheme="minorEastAsia" w:hAnsiTheme="minorHAnsi" w:cstheme="minorBidi"/>
              <w:caps w:val="0"/>
              <w:kern w:val="2"/>
              <w:sz w:val="24"/>
              <w:szCs w:val="24"/>
              <w14:ligatures w14:val="standardContextual"/>
            </w:rPr>
          </w:pPr>
          <w:r w:rsidRPr="00FD0B6E">
            <w:fldChar w:fldCharType="begin"/>
          </w:r>
          <w:r w:rsidRPr="00FD0B6E">
            <w:instrText xml:space="preserve"> TOC \o "1-3" \h \z \u </w:instrText>
          </w:r>
          <w:r w:rsidRPr="00FD0B6E">
            <w:fldChar w:fldCharType="separate"/>
          </w:r>
          <w:hyperlink w:anchor="_Toc178834436" w:history="1">
            <w:r w:rsidR="00DF04FD" w:rsidRPr="00D615EE">
              <w:rPr>
                <w:rStyle w:val="Hyperlink"/>
              </w:rPr>
              <w:t>Revision History</w:t>
            </w:r>
            <w:r w:rsidR="00DF04FD">
              <w:rPr>
                <w:webHidden/>
              </w:rPr>
              <w:tab/>
            </w:r>
            <w:r w:rsidR="00DF04FD">
              <w:rPr>
                <w:webHidden/>
              </w:rPr>
              <w:fldChar w:fldCharType="begin"/>
            </w:r>
            <w:r w:rsidR="00DF04FD">
              <w:rPr>
                <w:webHidden/>
              </w:rPr>
              <w:instrText xml:space="preserve"> PAGEREF _Toc178834436 \h </w:instrText>
            </w:r>
            <w:r w:rsidR="00DF04FD">
              <w:rPr>
                <w:webHidden/>
              </w:rPr>
            </w:r>
            <w:r w:rsidR="00DF04FD">
              <w:rPr>
                <w:webHidden/>
              </w:rPr>
              <w:fldChar w:fldCharType="separate"/>
            </w:r>
            <w:r w:rsidR="00C70B4C">
              <w:rPr>
                <w:webHidden/>
              </w:rPr>
              <w:t>i</w:t>
            </w:r>
            <w:r w:rsidR="00DF04FD">
              <w:rPr>
                <w:webHidden/>
              </w:rPr>
              <w:fldChar w:fldCharType="end"/>
            </w:r>
          </w:hyperlink>
        </w:p>
        <w:p w14:paraId="6B291B80" w14:textId="1AC484F6" w:rsidR="00DF04FD" w:rsidRDefault="00DF04FD">
          <w:pPr>
            <w:pStyle w:val="TOC1"/>
            <w:rPr>
              <w:rFonts w:asciiTheme="minorHAnsi" w:eastAsiaTheme="minorEastAsia" w:hAnsiTheme="minorHAnsi" w:cstheme="minorBidi"/>
              <w:caps w:val="0"/>
              <w:kern w:val="2"/>
              <w:sz w:val="24"/>
              <w:szCs w:val="24"/>
              <w14:ligatures w14:val="standardContextual"/>
            </w:rPr>
          </w:pPr>
          <w:hyperlink w:anchor="_Toc178834437" w:history="1">
            <w:r w:rsidRPr="00D615EE">
              <w:rPr>
                <w:rStyle w:val="Hyperlink"/>
              </w:rPr>
              <w:t>FGSAG REport 2024 Addendum</w:t>
            </w:r>
            <w:r>
              <w:rPr>
                <w:webHidden/>
              </w:rPr>
              <w:tab/>
            </w:r>
            <w:r>
              <w:rPr>
                <w:webHidden/>
              </w:rPr>
              <w:fldChar w:fldCharType="begin"/>
            </w:r>
            <w:r>
              <w:rPr>
                <w:webHidden/>
              </w:rPr>
              <w:instrText xml:space="preserve"> PAGEREF _Toc178834437 \h </w:instrText>
            </w:r>
            <w:r>
              <w:rPr>
                <w:webHidden/>
              </w:rPr>
            </w:r>
            <w:r>
              <w:rPr>
                <w:webHidden/>
              </w:rPr>
              <w:fldChar w:fldCharType="separate"/>
            </w:r>
            <w:r w:rsidR="00C70B4C">
              <w:rPr>
                <w:webHidden/>
              </w:rPr>
              <w:t>1</w:t>
            </w:r>
            <w:r>
              <w:rPr>
                <w:webHidden/>
              </w:rPr>
              <w:fldChar w:fldCharType="end"/>
            </w:r>
          </w:hyperlink>
        </w:p>
        <w:p w14:paraId="2310F9E2" w14:textId="7C3D2169" w:rsidR="00DF04FD" w:rsidRDefault="00DF04FD">
          <w:pPr>
            <w:pStyle w:val="TOC2"/>
            <w:rPr>
              <w:rFonts w:asciiTheme="minorHAnsi" w:eastAsiaTheme="minorEastAsia" w:hAnsiTheme="minorHAnsi" w:cstheme="minorBidi"/>
              <w:kern w:val="2"/>
              <w:sz w:val="24"/>
              <w:szCs w:val="24"/>
              <w14:ligatures w14:val="standardContextual"/>
            </w:rPr>
          </w:pPr>
          <w:hyperlink w:anchor="_Toc178834438" w:history="1">
            <w:r w:rsidRPr="00D615EE">
              <w:rPr>
                <w:rStyle w:val="Hyperlink"/>
              </w:rPr>
              <w:t>Overview</w:t>
            </w:r>
            <w:r>
              <w:rPr>
                <w:webHidden/>
              </w:rPr>
              <w:tab/>
            </w:r>
            <w:r>
              <w:rPr>
                <w:webHidden/>
              </w:rPr>
              <w:fldChar w:fldCharType="begin"/>
            </w:r>
            <w:r>
              <w:rPr>
                <w:webHidden/>
              </w:rPr>
              <w:instrText xml:space="preserve"> PAGEREF _Toc178834438 \h </w:instrText>
            </w:r>
            <w:r>
              <w:rPr>
                <w:webHidden/>
              </w:rPr>
            </w:r>
            <w:r>
              <w:rPr>
                <w:webHidden/>
              </w:rPr>
              <w:fldChar w:fldCharType="separate"/>
            </w:r>
            <w:r w:rsidR="00C70B4C">
              <w:rPr>
                <w:webHidden/>
              </w:rPr>
              <w:t>1</w:t>
            </w:r>
            <w:r>
              <w:rPr>
                <w:webHidden/>
              </w:rPr>
              <w:fldChar w:fldCharType="end"/>
            </w:r>
          </w:hyperlink>
        </w:p>
        <w:p w14:paraId="5D4F1AA8" w14:textId="4070BEFD" w:rsidR="00DF04FD" w:rsidRDefault="00DF04FD">
          <w:pPr>
            <w:pStyle w:val="TOC2"/>
            <w:rPr>
              <w:rFonts w:asciiTheme="minorHAnsi" w:eastAsiaTheme="minorEastAsia" w:hAnsiTheme="minorHAnsi" w:cstheme="minorBidi"/>
              <w:kern w:val="2"/>
              <w:sz w:val="24"/>
              <w:szCs w:val="24"/>
              <w14:ligatures w14:val="standardContextual"/>
            </w:rPr>
          </w:pPr>
          <w:hyperlink w:anchor="_Toc178834439" w:history="1">
            <w:r w:rsidRPr="00D615EE">
              <w:rPr>
                <w:rStyle w:val="Hyperlink"/>
              </w:rPr>
              <w:t>Recommendations from the 2023 Report</w:t>
            </w:r>
            <w:r>
              <w:rPr>
                <w:webHidden/>
              </w:rPr>
              <w:tab/>
            </w:r>
            <w:r>
              <w:rPr>
                <w:webHidden/>
              </w:rPr>
              <w:fldChar w:fldCharType="begin"/>
            </w:r>
            <w:r>
              <w:rPr>
                <w:webHidden/>
              </w:rPr>
              <w:instrText xml:space="preserve"> PAGEREF _Toc178834439 \h </w:instrText>
            </w:r>
            <w:r>
              <w:rPr>
                <w:webHidden/>
              </w:rPr>
            </w:r>
            <w:r>
              <w:rPr>
                <w:webHidden/>
              </w:rPr>
              <w:fldChar w:fldCharType="separate"/>
            </w:r>
            <w:r w:rsidR="00C70B4C">
              <w:rPr>
                <w:webHidden/>
              </w:rPr>
              <w:t>1</w:t>
            </w:r>
            <w:r>
              <w:rPr>
                <w:webHidden/>
              </w:rPr>
              <w:fldChar w:fldCharType="end"/>
            </w:r>
          </w:hyperlink>
        </w:p>
        <w:p w14:paraId="3EBE8AC7" w14:textId="6211291B" w:rsidR="00DF04FD" w:rsidRDefault="00DF04FD">
          <w:pPr>
            <w:pStyle w:val="TOC2"/>
            <w:rPr>
              <w:rFonts w:asciiTheme="minorHAnsi" w:eastAsiaTheme="minorEastAsia" w:hAnsiTheme="minorHAnsi" w:cstheme="minorBidi"/>
              <w:kern w:val="2"/>
              <w:sz w:val="24"/>
              <w:szCs w:val="24"/>
              <w14:ligatures w14:val="standardContextual"/>
            </w:rPr>
          </w:pPr>
          <w:hyperlink w:anchor="_Toc178834440" w:history="1">
            <w:r w:rsidRPr="00D615EE">
              <w:rPr>
                <w:rStyle w:val="Hyperlink"/>
              </w:rPr>
              <w:t>Changes in the Current Outlook</w:t>
            </w:r>
            <w:r>
              <w:rPr>
                <w:webHidden/>
              </w:rPr>
              <w:tab/>
            </w:r>
            <w:r>
              <w:rPr>
                <w:webHidden/>
              </w:rPr>
              <w:fldChar w:fldCharType="begin"/>
            </w:r>
            <w:r>
              <w:rPr>
                <w:webHidden/>
              </w:rPr>
              <w:instrText xml:space="preserve"> PAGEREF _Toc178834440 \h </w:instrText>
            </w:r>
            <w:r>
              <w:rPr>
                <w:webHidden/>
              </w:rPr>
            </w:r>
            <w:r>
              <w:rPr>
                <w:webHidden/>
              </w:rPr>
              <w:fldChar w:fldCharType="separate"/>
            </w:r>
            <w:r w:rsidR="00C70B4C">
              <w:rPr>
                <w:webHidden/>
              </w:rPr>
              <w:t>1</w:t>
            </w:r>
            <w:r>
              <w:rPr>
                <w:webHidden/>
              </w:rPr>
              <w:fldChar w:fldCharType="end"/>
            </w:r>
          </w:hyperlink>
        </w:p>
        <w:p w14:paraId="2EDED5C7" w14:textId="63BF2B62" w:rsidR="00DF04FD" w:rsidRDefault="00DF04FD">
          <w:pPr>
            <w:pStyle w:val="TOC3"/>
            <w:rPr>
              <w:rFonts w:asciiTheme="minorHAnsi" w:hAnsiTheme="minorHAnsi" w:cstheme="minorBidi"/>
              <w:kern w:val="2"/>
              <w:sz w:val="24"/>
              <w:szCs w:val="24"/>
              <w14:ligatures w14:val="standardContextual"/>
            </w:rPr>
          </w:pPr>
          <w:hyperlink w:anchor="_Toc178834441" w:history="1">
            <w:r w:rsidRPr="00D615EE">
              <w:rPr>
                <w:rStyle w:val="Hyperlink"/>
              </w:rPr>
              <w:t>Legal and Regulatory Landscape</w:t>
            </w:r>
            <w:r>
              <w:rPr>
                <w:webHidden/>
              </w:rPr>
              <w:tab/>
            </w:r>
            <w:r>
              <w:rPr>
                <w:webHidden/>
              </w:rPr>
              <w:fldChar w:fldCharType="begin"/>
            </w:r>
            <w:r>
              <w:rPr>
                <w:webHidden/>
              </w:rPr>
              <w:instrText xml:space="preserve"> PAGEREF _Toc178834441 \h </w:instrText>
            </w:r>
            <w:r>
              <w:rPr>
                <w:webHidden/>
              </w:rPr>
            </w:r>
            <w:r>
              <w:rPr>
                <w:webHidden/>
              </w:rPr>
              <w:fldChar w:fldCharType="separate"/>
            </w:r>
            <w:r w:rsidR="00C70B4C">
              <w:rPr>
                <w:webHidden/>
              </w:rPr>
              <w:t>1</w:t>
            </w:r>
            <w:r>
              <w:rPr>
                <w:webHidden/>
              </w:rPr>
              <w:fldChar w:fldCharType="end"/>
            </w:r>
          </w:hyperlink>
        </w:p>
        <w:p w14:paraId="35BBF2D5" w14:textId="59C32706" w:rsidR="00DF04FD" w:rsidRDefault="00DF04FD">
          <w:pPr>
            <w:pStyle w:val="TOC3"/>
            <w:rPr>
              <w:rFonts w:asciiTheme="minorHAnsi" w:hAnsiTheme="minorHAnsi" w:cstheme="minorBidi"/>
              <w:kern w:val="2"/>
              <w:sz w:val="24"/>
              <w:szCs w:val="24"/>
              <w14:ligatures w14:val="standardContextual"/>
            </w:rPr>
          </w:pPr>
          <w:hyperlink w:anchor="_Toc178834442" w:history="1">
            <w:r w:rsidRPr="00D615EE">
              <w:rPr>
                <w:rStyle w:val="Hyperlink"/>
              </w:rPr>
              <w:t>Assessing Future Energy and Resource Needs</w:t>
            </w:r>
            <w:r>
              <w:rPr>
                <w:webHidden/>
              </w:rPr>
              <w:tab/>
            </w:r>
            <w:r>
              <w:rPr>
                <w:webHidden/>
              </w:rPr>
              <w:fldChar w:fldCharType="begin"/>
            </w:r>
            <w:r>
              <w:rPr>
                <w:webHidden/>
              </w:rPr>
              <w:instrText xml:space="preserve"> PAGEREF _Toc178834442 \h </w:instrText>
            </w:r>
            <w:r>
              <w:rPr>
                <w:webHidden/>
              </w:rPr>
            </w:r>
            <w:r>
              <w:rPr>
                <w:webHidden/>
              </w:rPr>
              <w:fldChar w:fldCharType="separate"/>
            </w:r>
            <w:r w:rsidR="00C70B4C">
              <w:rPr>
                <w:webHidden/>
              </w:rPr>
              <w:t>2</w:t>
            </w:r>
            <w:r>
              <w:rPr>
                <w:webHidden/>
              </w:rPr>
              <w:fldChar w:fldCharType="end"/>
            </w:r>
          </w:hyperlink>
        </w:p>
        <w:p w14:paraId="065FB06C" w14:textId="618F93D7" w:rsidR="00DF04FD" w:rsidRDefault="00DF04FD">
          <w:pPr>
            <w:pStyle w:val="TOC3"/>
            <w:rPr>
              <w:rFonts w:asciiTheme="minorHAnsi" w:hAnsiTheme="minorHAnsi" w:cstheme="minorBidi"/>
              <w:kern w:val="2"/>
              <w:sz w:val="24"/>
              <w:szCs w:val="24"/>
              <w14:ligatures w14:val="standardContextual"/>
            </w:rPr>
          </w:pPr>
          <w:hyperlink w:anchor="_Toc178834443" w:history="1">
            <w:r w:rsidRPr="00D615EE">
              <w:rPr>
                <w:rStyle w:val="Hyperlink"/>
              </w:rPr>
              <w:t>Load of the Future</w:t>
            </w:r>
            <w:r>
              <w:rPr>
                <w:webHidden/>
              </w:rPr>
              <w:tab/>
            </w:r>
            <w:r>
              <w:rPr>
                <w:webHidden/>
              </w:rPr>
              <w:fldChar w:fldCharType="begin"/>
            </w:r>
            <w:r>
              <w:rPr>
                <w:webHidden/>
              </w:rPr>
              <w:instrText xml:space="preserve"> PAGEREF _Toc178834443 \h </w:instrText>
            </w:r>
            <w:r>
              <w:rPr>
                <w:webHidden/>
              </w:rPr>
            </w:r>
            <w:r>
              <w:rPr>
                <w:webHidden/>
              </w:rPr>
              <w:fldChar w:fldCharType="separate"/>
            </w:r>
            <w:r w:rsidR="00C70B4C">
              <w:rPr>
                <w:webHidden/>
              </w:rPr>
              <w:t>3</w:t>
            </w:r>
            <w:r>
              <w:rPr>
                <w:webHidden/>
              </w:rPr>
              <w:fldChar w:fldCharType="end"/>
            </w:r>
          </w:hyperlink>
        </w:p>
        <w:p w14:paraId="1FFFC6F3" w14:textId="270DC25C" w:rsidR="00DF04FD" w:rsidRDefault="00DF04FD">
          <w:pPr>
            <w:pStyle w:val="TOC3"/>
            <w:rPr>
              <w:rFonts w:asciiTheme="minorHAnsi" w:hAnsiTheme="minorHAnsi" w:cstheme="minorBidi"/>
              <w:kern w:val="2"/>
              <w:sz w:val="24"/>
              <w:szCs w:val="24"/>
              <w14:ligatures w14:val="standardContextual"/>
            </w:rPr>
          </w:pPr>
          <w:hyperlink w:anchor="_Toc178834444" w:history="1">
            <w:r w:rsidRPr="00D615EE">
              <w:rPr>
                <w:rStyle w:val="Hyperlink"/>
              </w:rPr>
              <w:t>Artificial Intelligence’s Role in Managing the Grid</w:t>
            </w:r>
            <w:r>
              <w:rPr>
                <w:webHidden/>
              </w:rPr>
              <w:tab/>
            </w:r>
            <w:r>
              <w:rPr>
                <w:webHidden/>
              </w:rPr>
              <w:fldChar w:fldCharType="begin"/>
            </w:r>
            <w:r>
              <w:rPr>
                <w:webHidden/>
              </w:rPr>
              <w:instrText xml:space="preserve"> PAGEREF _Toc178834444 \h </w:instrText>
            </w:r>
            <w:r>
              <w:rPr>
                <w:webHidden/>
              </w:rPr>
            </w:r>
            <w:r>
              <w:rPr>
                <w:webHidden/>
              </w:rPr>
              <w:fldChar w:fldCharType="separate"/>
            </w:r>
            <w:r w:rsidR="00C70B4C">
              <w:rPr>
                <w:webHidden/>
              </w:rPr>
              <w:t>4</w:t>
            </w:r>
            <w:r>
              <w:rPr>
                <w:webHidden/>
              </w:rPr>
              <w:fldChar w:fldCharType="end"/>
            </w:r>
          </w:hyperlink>
        </w:p>
        <w:p w14:paraId="32801618" w14:textId="6443650F" w:rsidR="00DF04FD" w:rsidRDefault="00DF04FD">
          <w:pPr>
            <w:pStyle w:val="TOC3"/>
            <w:rPr>
              <w:rFonts w:asciiTheme="minorHAnsi" w:hAnsiTheme="minorHAnsi" w:cstheme="minorBidi"/>
              <w:kern w:val="2"/>
              <w:sz w:val="24"/>
              <w:szCs w:val="24"/>
              <w14:ligatures w14:val="standardContextual"/>
            </w:rPr>
          </w:pPr>
          <w:hyperlink w:anchor="_Toc178834445" w:history="1">
            <w:r w:rsidRPr="00D615EE">
              <w:rPr>
                <w:rStyle w:val="Hyperlink"/>
              </w:rPr>
              <w:t>Grid Enhancing Technologies: SPP “GETs” it</w:t>
            </w:r>
            <w:r>
              <w:rPr>
                <w:webHidden/>
              </w:rPr>
              <w:tab/>
            </w:r>
            <w:r>
              <w:rPr>
                <w:webHidden/>
              </w:rPr>
              <w:fldChar w:fldCharType="begin"/>
            </w:r>
            <w:r>
              <w:rPr>
                <w:webHidden/>
              </w:rPr>
              <w:instrText xml:space="preserve"> PAGEREF _Toc178834445 \h </w:instrText>
            </w:r>
            <w:r>
              <w:rPr>
                <w:webHidden/>
              </w:rPr>
            </w:r>
            <w:r>
              <w:rPr>
                <w:webHidden/>
              </w:rPr>
              <w:fldChar w:fldCharType="separate"/>
            </w:r>
            <w:r w:rsidR="00C70B4C">
              <w:rPr>
                <w:webHidden/>
              </w:rPr>
              <w:t>6</w:t>
            </w:r>
            <w:r>
              <w:rPr>
                <w:webHidden/>
              </w:rPr>
              <w:fldChar w:fldCharType="end"/>
            </w:r>
          </w:hyperlink>
        </w:p>
        <w:p w14:paraId="76DC6AEF" w14:textId="24B43708" w:rsidR="00DF04FD" w:rsidRDefault="00DF04FD">
          <w:pPr>
            <w:pStyle w:val="TOC2"/>
            <w:rPr>
              <w:rFonts w:asciiTheme="minorHAnsi" w:eastAsiaTheme="minorEastAsia" w:hAnsiTheme="minorHAnsi" w:cstheme="minorBidi"/>
              <w:kern w:val="2"/>
              <w:sz w:val="24"/>
              <w:szCs w:val="24"/>
              <w14:ligatures w14:val="standardContextual"/>
            </w:rPr>
          </w:pPr>
          <w:hyperlink w:anchor="_Toc178834446" w:history="1">
            <w:r w:rsidRPr="00D615EE">
              <w:rPr>
                <w:rStyle w:val="Hyperlink"/>
              </w:rPr>
              <w:t>Appendices</w:t>
            </w:r>
            <w:r>
              <w:rPr>
                <w:webHidden/>
              </w:rPr>
              <w:tab/>
            </w:r>
            <w:r>
              <w:rPr>
                <w:webHidden/>
              </w:rPr>
              <w:fldChar w:fldCharType="begin"/>
            </w:r>
            <w:r>
              <w:rPr>
                <w:webHidden/>
              </w:rPr>
              <w:instrText xml:space="preserve"> PAGEREF _Toc178834446 \h </w:instrText>
            </w:r>
            <w:r>
              <w:rPr>
                <w:webHidden/>
              </w:rPr>
            </w:r>
            <w:r>
              <w:rPr>
                <w:webHidden/>
              </w:rPr>
              <w:fldChar w:fldCharType="separate"/>
            </w:r>
            <w:r w:rsidR="00C70B4C">
              <w:rPr>
                <w:webHidden/>
              </w:rPr>
              <w:t>9</w:t>
            </w:r>
            <w:r>
              <w:rPr>
                <w:webHidden/>
              </w:rPr>
              <w:fldChar w:fldCharType="end"/>
            </w:r>
          </w:hyperlink>
        </w:p>
        <w:p w14:paraId="00FF5953" w14:textId="5952672D" w:rsidR="00DF04FD" w:rsidRDefault="00DF04FD">
          <w:pPr>
            <w:pStyle w:val="TOC3"/>
            <w:tabs>
              <w:tab w:val="left" w:pos="960"/>
            </w:tabs>
            <w:rPr>
              <w:rFonts w:asciiTheme="minorHAnsi" w:hAnsiTheme="minorHAnsi" w:cstheme="minorBidi"/>
              <w:kern w:val="2"/>
              <w:sz w:val="24"/>
              <w:szCs w:val="24"/>
              <w14:ligatures w14:val="standardContextual"/>
            </w:rPr>
          </w:pPr>
          <w:hyperlink w:anchor="_Toc178834447" w:history="1">
            <w:r w:rsidRPr="00D615EE">
              <w:rPr>
                <w:rStyle w:val="Hyperlink"/>
              </w:rPr>
              <w:t>1.</w:t>
            </w:r>
            <w:r>
              <w:rPr>
                <w:rFonts w:asciiTheme="minorHAnsi" w:hAnsiTheme="minorHAnsi" w:cstheme="minorBidi"/>
                <w:kern w:val="2"/>
                <w:sz w:val="24"/>
                <w:szCs w:val="24"/>
                <w14:ligatures w14:val="standardContextual"/>
              </w:rPr>
              <w:tab/>
            </w:r>
            <w:r w:rsidRPr="00D615EE">
              <w:rPr>
                <w:rStyle w:val="Hyperlink"/>
              </w:rPr>
              <w:t>Recent Changes in Legal and Regulatory Landscape</w:t>
            </w:r>
            <w:r>
              <w:rPr>
                <w:webHidden/>
              </w:rPr>
              <w:tab/>
            </w:r>
            <w:r>
              <w:rPr>
                <w:webHidden/>
              </w:rPr>
              <w:fldChar w:fldCharType="begin"/>
            </w:r>
            <w:r>
              <w:rPr>
                <w:webHidden/>
              </w:rPr>
              <w:instrText xml:space="preserve"> PAGEREF _Toc178834447 \h </w:instrText>
            </w:r>
            <w:r>
              <w:rPr>
                <w:webHidden/>
              </w:rPr>
            </w:r>
            <w:r>
              <w:rPr>
                <w:webHidden/>
              </w:rPr>
              <w:fldChar w:fldCharType="separate"/>
            </w:r>
            <w:r w:rsidR="00C70B4C">
              <w:rPr>
                <w:webHidden/>
              </w:rPr>
              <w:t>9</w:t>
            </w:r>
            <w:r>
              <w:rPr>
                <w:webHidden/>
              </w:rPr>
              <w:fldChar w:fldCharType="end"/>
            </w:r>
          </w:hyperlink>
        </w:p>
        <w:p w14:paraId="5F127A6D" w14:textId="405371AD" w:rsidR="00DF04FD" w:rsidRDefault="00DF04FD">
          <w:pPr>
            <w:pStyle w:val="TOC3"/>
            <w:tabs>
              <w:tab w:val="left" w:pos="960"/>
            </w:tabs>
            <w:rPr>
              <w:rFonts w:asciiTheme="minorHAnsi" w:hAnsiTheme="minorHAnsi" w:cstheme="minorBidi"/>
              <w:kern w:val="2"/>
              <w:sz w:val="24"/>
              <w:szCs w:val="24"/>
              <w14:ligatures w14:val="standardContextual"/>
            </w:rPr>
          </w:pPr>
          <w:hyperlink w:anchor="_Toc178834448" w:history="1">
            <w:r w:rsidRPr="00D615EE">
              <w:rPr>
                <w:rStyle w:val="Hyperlink"/>
              </w:rPr>
              <w:t>2.</w:t>
            </w:r>
            <w:r>
              <w:rPr>
                <w:rFonts w:asciiTheme="minorHAnsi" w:hAnsiTheme="minorHAnsi" w:cstheme="minorBidi"/>
                <w:kern w:val="2"/>
                <w:sz w:val="24"/>
                <w:szCs w:val="24"/>
                <w14:ligatures w14:val="standardContextual"/>
              </w:rPr>
              <w:tab/>
            </w:r>
            <w:r w:rsidRPr="00D615EE">
              <w:rPr>
                <w:rStyle w:val="Hyperlink"/>
              </w:rPr>
              <w:t>2023 Report Recommendations by Priority</w:t>
            </w:r>
            <w:r>
              <w:rPr>
                <w:webHidden/>
              </w:rPr>
              <w:tab/>
            </w:r>
            <w:r>
              <w:rPr>
                <w:webHidden/>
              </w:rPr>
              <w:fldChar w:fldCharType="begin"/>
            </w:r>
            <w:r>
              <w:rPr>
                <w:webHidden/>
              </w:rPr>
              <w:instrText xml:space="preserve"> PAGEREF _Toc178834448 \h </w:instrText>
            </w:r>
            <w:r>
              <w:rPr>
                <w:webHidden/>
              </w:rPr>
            </w:r>
            <w:r>
              <w:rPr>
                <w:webHidden/>
              </w:rPr>
              <w:fldChar w:fldCharType="separate"/>
            </w:r>
            <w:r w:rsidR="00C70B4C">
              <w:rPr>
                <w:webHidden/>
              </w:rPr>
              <w:t>12</w:t>
            </w:r>
            <w:r>
              <w:rPr>
                <w:webHidden/>
              </w:rPr>
              <w:fldChar w:fldCharType="end"/>
            </w:r>
          </w:hyperlink>
        </w:p>
        <w:p w14:paraId="7FDC09DE" w14:textId="62EF870E" w:rsidR="00984A12" w:rsidRPr="00FD0B6E" w:rsidRDefault="00984A12" w:rsidP="009A533B">
          <w:r w:rsidRPr="00FD0B6E">
            <w:rPr>
              <w:noProof/>
            </w:rPr>
            <w:fldChar w:fldCharType="end"/>
          </w:r>
        </w:p>
      </w:sdtContent>
    </w:sdt>
    <w:p w14:paraId="66AFFF9D" w14:textId="77777777" w:rsidR="00984A12" w:rsidRDefault="00984A12" w:rsidP="009A533B">
      <w:pPr>
        <w:sectPr w:rsidR="00984A12" w:rsidSect="003D7CD1">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pPr>
    </w:p>
    <w:p w14:paraId="73CE2477" w14:textId="28524111" w:rsidR="00984A12" w:rsidRDefault="00D34802" w:rsidP="00D34802">
      <w:pPr>
        <w:pStyle w:val="Heading1"/>
      </w:pPr>
      <w:bookmarkStart w:id="1" w:name="_Toc178834437"/>
      <w:r>
        <w:lastRenderedPageBreak/>
        <w:t>FGSAG REport 2024 Addendum</w:t>
      </w:r>
      <w:bookmarkEnd w:id="1"/>
    </w:p>
    <w:p w14:paraId="714B1032" w14:textId="508B4DB8" w:rsidR="00934DB4" w:rsidRPr="00C25281" w:rsidRDefault="00C25281" w:rsidP="00C25281">
      <w:pPr>
        <w:pStyle w:val="Heading2"/>
      </w:pPr>
      <w:bookmarkStart w:id="2" w:name="_Toc178834438"/>
      <w:r w:rsidRPr="00C25281">
        <w:t>O</w:t>
      </w:r>
      <w:r w:rsidR="00934DB4" w:rsidRPr="00C25281">
        <w:t>verview</w:t>
      </w:r>
      <w:bookmarkEnd w:id="2"/>
    </w:p>
    <w:p w14:paraId="4B8B6F95" w14:textId="0BC06196" w:rsidR="00934DB4" w:rsidRDefault="00934DB4" w:rsidP="00934DB4">
      <w:r>
        <w:t xml:space="preserve">The Future Grid Strategy Advisory Group’s (FGSAG) initial recommendation report was published in </w:t>
      </w:r>
      <w:r w:rsidR="00B63A31">
        <w:t>April</w:t>
      </w:r>
      <w:r>
        <w:t xml:space="preserve"> 2023.  The recommendations from the report have been instrumental in informing the strategic efforts of SPP, but the future needs of the grid continue to evolve at a rapid pace and new challenges are emerging that were not fully contemplated in the initial report. This addendum is intended to capture these evolving needs and update the recommendations. </w:t>
      </w:r>
    </w:p>
    <w:p w14:paraId="1A27C475" w14:textId="2AC44927" w:rsidR="00D34802" w:rsidRDefault="00D34802" w:rsidP="00D34802">
      <w:pPr>
        <w:pStyle w:val="Heading2"/>
      </w:pPr>
      <w:bookmarkStart w:id="3" w:name="_Toc178834439"/>
      <w:r>
        <w:t xml:space="preserve">Recommendations from the </w:t>
      </w:r>
      <w:r w:rsidR="000643A0">
        <w:t xml:space="preserve">2023 </w:t>
      </w:r>
      <w:r w:rsidR="00C25281">
        <w:t>R</w:t>
      </w:r>
      <w:r>
        <w:t>eport</w:t>
      </w:r>
      <w:bookmarkEnd w:id="3"/>
    </w:p>
    <w:p w14:paraId="22F2050E" w14:textId="7FE812D2" w:rsidR="00A27B01" w:rsidRDefault="001C142D" w:rsidP="0030146E">
      <w:r>
        <w:t xml:space="preserve">The original report </w:t>
      </w:r>
      <w:r w:rsidR="00533CAA">
        <w:t xml:space="preserve">contained </w:t>
      </w:r>
      <w:r w:rsidR="00595992">
        <w:t xml:space="preserve">32 recommendations that were prioritized as high </w:t>
      </w:r>
      <w:r w:rsidR="00D85152">
        <w:t>(14)</w:t>
      </w:r>
      <w:r w:rsidR="004E1451">
        <w:t xml:space="preserve">, </w:t>
      </w:r>
      <w:r w:rsidR="00595992">
        <w:t xml:space="preserve">medium </w:t>
      </w:r>
      <w:r w:rsidR="00B154CD">
        <w:t xml:space="preserve">(15) </w:t>
      </w:r>
      <w:r w:rsidR="004E1451">
        <w:t xml:space="preserve">or </w:t>
      </w:r>
      <w:r w:rsidR="00595992">
        <w:t>low</w:t>
      </w:r>
      <w:r w:rsidR="00B154CD">
        <w:t xml:space="preserve"> (3)</w:t>
      </w:r>
      <w:r w:rsidR="00595992">
        <w:t xml:space="preserve">.  </w:t>
      </w:r>
      <w:r w:rsidR="005E78AE">
        <w:t xml:space="preserve">Since the publication of the original report, </w:t>
      </w:r>
      <w:r w:rsidR="00BE626E">
        <w:t xml:space="preserve">six high priority items are already underway with </w:t>
      </w:r>
      <w:r w:rsidR="005221AA">
        <w:t xml:space="preserve">another </w:t>
      </w:r>
      <w:r w:rsidR="001140F0">
        <w:t xml:space="preserve">seven added to the </w:t>
      </w:r>
      <w:r w:rsidR="00CE6487">
        <w:t>SPP r</w:t>
      </w:r>
      <w:r w:rsidR="001140F0">
        <w:t xml:space="preserve">oadmap </w:t>
      </w:r>
      <w:r w:rsidR="00CE6487">
        <w:t xml:space="preserve">process </w:t>
      </w:r>
      <w:r w:rsidR="001140F0">
        <w:t xml:space="preserve">and aligned with future projects.  One high priority item is under review.  </w:t>
      </w:r>
    </w:p>
    <w:p w14:paraId="0628CF20" w14:textId="5E5149D3" w:rsidR="006F65FD" w:rsidRDefault="00A27B01" w:rsidP="0030146E">
      <w:r>
        <w:t>All</w:t>
      </w:r>
      <w:r w:rsidR="00C3167F">
        <w:t xml:space="preserve"> items prioritized as</w:t>
      </w:r>
      <w:r>
        <w:t xml:space="preserve"> </w:t>
      </w:r>
      <w:r w:rsidR="00C3167F">
        <w:t>m</w:t>
      </w:r>
      <w:r>
        <w:t xml:space="preserve">edium and </w:t>
      </w:r>
      <w:r w:rsidR="00C3167F">
        <w:t>l</w:t>
      </w:r>
      <w:r>
        <w:t xml:space="preserve">ow have been refined to clarify the work product expected from those recommendations.  As a result, </w:t>
      </w:r>
      <w:r w:rsidR="009D42AC">
        <w:t xml:space="preserve">two </w:t>
      </w:r>
      <w:r w:rsidR="00195DC4">
        <w:t>medium</w:t>
      </w:r>
      <w:r w:rsidR="009779D0">
        <w:t xml:space="preserve"> priority</w:t>
      </w:r>
      <w:r w:rsidR="00195DC4">
        <w:t xml:space="preserve"> recommendations were consolidated </w:t>
      </w:r>
      <w:r w:rsidR="003F7FEC">
        <w:t>in</w:t>
      </w:r>
      <w:r w:rsidR="00195DC4">
        <w:t>to one (</w:t>
      </w:r>
      <w:r w:rsidR="00422947">
        <w:t>IC</w:t>
      </w:r>
      <w:r w:rsidR="00195DC4">
        <w:t>2</w:t>
      </w:r>
      <w:r w:rsidR="00820F8F">
        <w:t xml:space="preserve"> retired and</w:t>
      </w:r>
      <w:r w:rsidR="00195DC4">
        <w:t xml:space="preserve"> merged with </w:t>
      </w:r>
      <w:r w:rsidR="00422947">
        <w:t>IC3);</w:t>
      </w:r>
      <w:r w:rsidR="005849E4">
        <w:t xml:space="preserve"> and two medium </w:t>
      </w:r>
      <w:r w:rsidR="00652581">
        <w:t xml:space="preserve">priority </w:t>
      </w:r>
      <w:r w:rsidR="005849E4">
        <w:t xml:space="preserve">recommendations </w:t>
      </w:r>
      <w:r w:rsidR="007A102E">
        <w:t>specific to FGSAG ed</w:t>
      </w:r>
      <w:r w:rsidR="00BC2BCF">
        <w:t xml:space="preserve">ucation </w:t>
      </w:r>
      <w:r w:rsidR="005849E4">
        <w:t xml:space="preserve">were removed </w:t>
      </w:r>
      <w:r w:rsidR="00A86166">
        <w:t xml:space="preserve">from the recommendation list and added to the </w:t>
      </w:r>
      <w:r w:rsidR="00A429A4">
        <w:t>a</w:t>
      </w:r>
      <w:r w:rsidR="007A102E">
        <w:t xml:space="preserve">ction </w:t>
      </w:r>
      <w:r w:rsidR="00A429A4">
        <w:t>i</w:t>
      </w:r>
      <w:r w:rsidR="007A102E">
        <w:t xml:space="preserve">tem list for FGSAG.  </w:t>
      </w:r>
    </w:p>
    <w:p w14:paraId="65668B63" w14:textId="6D5B9FC3" w:rsidR="005377FA" w:rsidRDefault="005377FA" w:rsidP="0030146E">
      <w:r>
        <w:t xml:space="preserve">The current </w:t>
      </w:r>
      <w:r w:rsidR="0082162C">
        <w:t xml:space="preserve">alignment </w:t>
      </w:r>
      <w:r w:rsidR="00E72075">
        <w:t xml:space="preserve">of recommendations as detailed in the </w:t>
      </w:r>
      <w:r w:rsidR="001E71A6">
        <w:t>a</w:t>
      </w:r>
      <w:r w:rsidR="00E72075">
        <w:t xml:space="preserve">ppendix of this document includes </w:t>
      </w:r>
      <w:r w:rsidR="00FF2270">
        <w:t xml:space="preserve">14 </w:t>
      </w:r>
      <w:r w:rsidR="00BD58AA">
        <w:t>h</w:t>
      </w:r>
      <w:r w:rsidR="00FF2270">
        <w:t xml:space="preserve">igh priority recommendations, </w:t>
      </w:r>
      <w:r w:rsidR="00317410">
        <w:t xml:space="preserve">12 </w:t>
      </w:r>
      <w:r w:rsidR="00BD58AA">
        <w:t>m</w:t>
      </w:r>
      <w:r w:rsidR="00317410">
        <w:t xml:space="preserve">edium priority recommendations and three </w:t>
      </w:r>
      <w:r w:rsidR="00BD58AA">
        <w:t>l</w:t>
      </w:r>
      <w:r w:rsidR="005F3C83">
        <w:t xml:space="preserve">ow priority recommendations (for a total of </w:t>
      </w:r>
      <w:r w:rsidR="00D9219A">
        <w:t xml:space="preserve">29).  </w:t>
      </w:r>
      <w:r w:rsidR="00441D39">
        <w:t xml:space="preserve">This list will be updated based on the output and </w:t>
      </w:r>
      <w:r w:rsidR="00B86362">
        <w:t>prioritization of recommendations contained in this document.</w:t>
      </w:r>
    </w:p>
    <w:p w14:paraId="34F89FD3" w14:textId="4EF02031" w:rsidR="00A94740" w:rsidRDefault="00CC3043" w:rsidP="00A94740">
      <w:pPr>
        <w:pStyle w:val="Heading2"/>
      </w:pPr>
      <w:bookmarkStart w:id="4" w:name="_Toc178834440"/>
      <w:r>
        <w:t xml:space="preserve">Changes in the </w:t>
      </w:r>
      <w:r w:rsidR="00C25281">
        <w:t>C</w:t>
      </w:r>
      <w:r>
        <w:t xml:space="preserve">urrent </w:t>
      </w:r>
      <w:r w:rsidR="00C25281">
        <w:t>O</w:t>
      </w:r>
      <w:r>
        <w:t>utlook</w:t>
      </w:r>
      <w:bookmarkEnd w:id="4"/>
    </w:p>
    <w:p w14:paraId="1DAB687D" w14:textId="34EE3313" w:rsidR="000470D3" w:rsidRDefault="000470D3" w:rsidP="000470D3">
      <w:pPr>
        <w:pStyle w:val="Heading3"/>
      </w:pPr>
      <w:bookmarkStart w:id="5" w:name="_Toc178834441"/>
      <w:r>
        <w:t>Legal and R</w:t>
      </w:r>
      <w:r w:rsidR="007D476F">
        <w:t>e</w:t>
      </w:r>
      <w:r>
        <w:t>gulatory Landscape</w:t>
      </w:r>
      <w:bookmarkEnd w:id="5"/>
    </w:p>
    <w:p w14:paraId="53D44665" w14:textId="2E372C1A" w:rsidR="000470D3" w:rsidRDefault="00F71F90" w:rsidP="000470D3">
      <w:r>
        <w:t xml:space="preserve">Evolution in legislation and regulation </w:t>
      </w:r>
      <w:r w:rsidR="00DC37B3">
        <w:t xml:space="preserve">is a significant driver of change since the original report. </w:t>
      </w:r>
      <w:r w:rsidR="000470D3">
        <w:t xml:space="preserve">SPP has been monitoring and determining how changing legal and regulatory policies can impact reliability </w:t>
      </w:r>
      <w:r w:rsidR="008C0C34">
        <w:t xml:space="preserve">for </w:t>
      </w:r>
      <w:r w:rsidR="000470D3">
        <w:t xml:space="preserve">the region. Two areas that have recently gained attention are the U.S. </w:t>
      </w:r>
      <w:r w:rsidR="000470D3" w:rsidRPr="00753DA4">
        <w:t>Environmental Protection Agency</w:t>
      </w:r>
      <w:r w:rsidR="000470D3">
        <w:t>’s (EPA)</w:t>
      </w:r>
      <w:r w:rsidR="000470D3" w:rsidRPr="00753DA4">
        <w:t xml:space="preserve"> </w:t>
      </w:r>
      <w:r w:rsidR="000470D3">
        <w:t>regulations of greenhouse gas emissions and the implications of the Inflation Reduction Act.</w:t>
      </w:r>
    </w:p>
    <w:p w14:paraId="114AB4CA" w14:textId="531650D6" w:rsidR="000470D3" w:rsidRDefault="00292FA3" w:rsidP="00372AEC">
      <w:r>
        <w:lastRenderedPageBreak/>
        <w:t>R</w:t>
      </w:r>
      <w:r w:rsidR="004149AC">
        <w:t>ecent developments in legal and regulatory landscape that will drive change are discussed in</w:t>
      </w:r>
      <w:r w:rsidR="00597567">
        <w:t xml:space="preserve"> more detail</w:t>
      </w:r>
      <w:r w:rsidR="004149AC">
        <w:t xml:space="preserve"> Appendix 1. </w:t>
      </w:r>
      <w:r w:rsidR="00597567">
        <w:t xml:space="preserve">While the FGSAG does not </w:t>
      </w:r>
      <w:r w:rsidR="005328AD">
        <w:t xml:space="preserve">currently </w:t>
      </w:r>
      <w:r w:rsidR="00597567">
        <w:t xml:space="preserve">see the need to add new recommendations in response to these legal and regulatory developments, they </w:t>
      </w:r>
      <w:r w:rsidR="005328AD">
        <w:t xml:space="preserve">may </w:t>
      </w:r>
      <w:r w:rsidR="00597567">
        <w:t>result in expanded scope for SPP’s planned work and may require SPP to change its approach for addressing certain issues</w:t>
      </w:r>
      <w:r w:rsidR="005328AD">
        <w:t xml:space="preserve"> in the future</w:t>
      </w:r>
      <w:r w:rsidR="00597567">
        <w:t>. Such developments may affect the priority of currently planned activities.</w:t>
      </w:r>
    </w:p>
    <w:p w14:paraId="65D33AF1" w14:textId="3B7D4521" w:rsidR="004A104B" w:rsidRDefault="00E517A2" w:rsidP="00181F56">
      <w:pPr>
        <w:pStyle w:val="Heading3"/>
      </w:pPr>
      <w:bookmarkStart w:id="6" w:name="_Toc178834442"/>
      <w:r>
        <w:t>Assessing Futu</w:t>
      </w:r>
      <w:r w:rsidR="00311467">
        <w:t>re Energy and R</w:t>
      </w:r>
      <w:r w:rsidR="0085377E">
        <w:t>e</w:t>
      </w:r>
      <w:r w:rsidR="00311467">
        <w:t>source Needs</w:t>
      </w:r>
      <w:bookmarkEnd w:id="6"/>
    </w:p>
    <w:p w14:paraId="38E70C4E" w14:textId="1614BD77" w:rsidR="00E66343" w:rsidRPr="00E66343" w:rsidRDefault="00E66343" w:rsidP="00E66343">
      <w:r w:rsidRPr="00E66343">
        <w:t xml:space="preserve">The scale and scope of the energy and electrification transition is daunting. In </w:t>
      </w:r>
      <w:r w:rsidR="000852BB">
        <w:t>the Future Energy &amp; Resource Needs Study (FERNS),</w:t>
      </w:r>
      <w:r w:rsidRPr="00E66343">
        <w:t xml:space="preserve"> SPP </w:t>
      </w:r>
      <w:r w:rsidR="007B4B72">
        <w:t>is examining</w:t>
      </w:r>
      <w:r w:rsidRPr="00E66343">
        <w:t xml:space="preserve"> the key drivers of the outlook</w:t>
      </w:r>
      <w:r w:rsidR="001B00CA">
        <w:t xml:space="preserve"> for the future grid</w:t>
      </w:r>
      <w:r w:rsidRPr="00E66343">
        <w:t xml:space="preserve">: </w:t>
      </w:r>
      <w:r w:rsidR="002675EC">
        <w:t xml:space="preserve">new large loads, </w:t>
      </w:r>
      <w:r w:rsidRPr="00E66343">
        <w:t>electrification of the demand</w:t>
      </w:r>
      <w:r w:rsidR="002D30E2">
        <w:t>,</w:t>
      </w:r>
      <w:r w:rsidRPr="00E66343">
        <w:t xml:space="preserve"> and expansion of carbon free generation resources. Five scenarios have been constructed envisioning different views of the future. Electrification depends on factors affecting the cost of conversion and/or policies that may impact the speed of this conversion. </w:t>
      </w:r>
      <w:r w:rsidR="002D30E2">
        <w:t xml:space="preserve">Similarly, the pace of </w:t>
      </w:r>
      <w:r w:rsidR="007D30E2">
        <w:t>lower-</w:t>
      </w:r>
      <w:r w:rsidRPr="00E66343">
        <w:t xml:space="preserve">carbon generation expansion </w:t>
      </w:r>
      <w:r w:rsidR="00347A02">
        <w:t>depends on many factors including</w:t>
      </w:r>
      <w:r w:rsidR="00347A02" w:rsidRPr="00E66343">
        <w:t xml:space="preserve"> </w:t>
      </w:r>
      <w:r w:rsidRPr="00E66343">
        <w:t xml:space="preserve">the cost of the technology, policy choices and technological innovations. </w:t>
      </w:r>
      <w:r w:rsidR="007D30E2">
        <w:t>Also,</w:t>
      </w:r>
      <w:r w:rsidRPr="00E66343">
        <w:t xml:space="preserve"> supporting policies at the local, state and federal level are affected by </w:t>
      </w:r>
      <w:r w:rsidR="009A2E2A">
        <w:t xml:space="preserve">the </w:t>
      </w:r>
      <w:r w:rsidRPr="00E66343">
        <w:t xml:space="preserve">degree of cooperation between the local, state and federal governments and the strength of interest groups and public support. </w:t>
      </w:r>
    </w:p>
    <w:p w14:paraId="12CFE7E7" w14:textId="08664D35" w:rsidR="00E66343" w:rsidRPr="00E66343" w:rsidRDefault="00347A02" w:rsidP="00E66343">
      <w:r>
        <w:t>FERNS</w:t>
      </w:r>
      <w:r w:rsidR="00E66343" w:rsidRPr="00E66343">
        <w:t xml:space="preserve"> </w:t>
      </w:r>
      <w:r>
        <w:t xml:space="preserve">is analyzing </w:t>
      </w:r>
      <w:r w:rsidR="00E66343" w:rsidRPr="00E66343">
        <w:t>the gradual transformation of the grid under different scenarios</w:t>
      </w:r>
      <w:r w:rsidR="007D30E2">
        <w:t>. The results will</w:t>
      </w:r>
      <w:r w:rsidR="00E66343" w:rsidRPr="00E66343">
        <w:t xml:space="preserve"> serve to inform some of the approaches, changes, and regulations that may be key to economic and reliable transformation of the grid. </w:t>
      </w:r>
    </w:p>
    <w:p w14:paraId="4D004682" w14:textId="77FCD81A" w:rsidR="00E66343" w:rsidRPr="00E66343" w:rsidRDefault="00347A02" w:rsidP="00E66343">
      <w:r>
        <w:t>FERNS</w:t>
      </w:r>
      <w:r w:rsidR="00E66343" w:rsidRPr="00E66343">
        <w:t xml:space="preserve"> </w:t>
      </w:r>
      <w:r w:rsidR="007D30E2">
        <w:t>assumes</w:t>
      </w:r>
      <w:r w:rsidR="00E66343" w:rsidRPr="00E66343">
        <w:t xml:space="preserve"> that only current commercially viable technologies are available to replace retiring conventional generation</w:t>
      </w:r>
      <w:r w:rsidR="00E218C1">
        <w:t>.</w:t>
      </w:r>
      <w:r w:rsidR="00E66343" w:rsidRPr="00E66343">
        <w:t xml:space="preserve"> </w:t>
      </w:r>
      <w:r w:rsidR="006E3164">
        <w:t>This avoids</w:t>
      </w:r>
      <w:r w:rsidR="00E66343" w:rsidRPr="00E66343">
        <w:t xml:space="preserve"> uncertainty </w:t>
      </w:r>
      <w:r>
        <w:t>from</w:t>
      </w:r>
      <w:r w:rsidR="006E3164">
        <w:t xml:space="preserve"> </w:t>
      </w:r>
      <w:r>
        <w:t>assuming availability of</w:t>
      </w:r>
      <w:r w:rsidRPr="00E66343">
        <w:t xml:space="preserve"> </w:t>
      </w:r>
      <w:r w:rsidR="00E66343" w:rsidRPr="00E66343">
        <w:t xml:space="preserve">breakthrough technologies </w:t>
      </w:r>
      <w:r w:rsidR="003217A9">
        <w:t xml:space="preserve">that </w:t>
      </w:r>
      <w:r>
        <w:t>could</w:t>
      </w:r>
      <w:r w:rsidRPr="00E66343">
        <w:t xml:space="preserve"> </w:t>
      </w:r>
      <w:r w:rsidR="00E66343" w:rsidRPr="00E66343">
        <w:t xml:space="preserve">provide </w:t>
      </w:r>
      <w:r w:rsidR="003217A9">
        <w:t xml:space="preserve">an </w:t>
      </w:r>
      <w:r w:rsidR="00E66343" w:rsidRPr="00E66343">
        <w:t>overly optimistic view of the future</w:t>
      </w:r>
      <w:r>
        <w:t xml:space="preserve">, but could similarly provide a view that is </w:t>
      </w:r>
      <w:r w:rsidR="00A32CB2">
        <w:t xml:space="preserve">too </w:t>
      </w:r>
      <w:r>
        <w:t>conservative in the pace of transformation and decarbonization from technologies that are not commercially viable today but emerge within the study timeframe</w:t>
      </w:r>
      <w:r w:rsidR="00E66343" w:rsidRPr="00E66343">
        <w:t xml:space="preserve">. </w:t>
      </w:r>
    </w:p>
    <w:p w14:paraId="1E9DCEE8" w14:textId="1A3E19CF" w:rsidR="00E66343" w:rsidRPr="00E66343" w:rsidRDefault="00E66343" w:rsidP="00841F8A">
      <w:pPr>
        <w:spacing w:after="0"/>
      </w:pPr>
      <w:r w:rsidRPr="00E66343">
        <w:t>The study objective</w:t>
      </w:r>
      <w:r w:rsidR="006E3EFD">
        <w:t>s are to:</w:t>
      </w:r>
      <w:r w:rsidRPr="00E66343">
        <w:t xml:space="preserve"> </w:t>
      </w:r>
    </w:p>
    <w:p w14:paraId="2717606A" w14:textId="408C6E69" w:rsidR="00E66343" w:rsidRPr="00E66343" w:rsidRDefault="00E66343" w:rsidP="006E3EFD">
      <w:pPr>
        <w:pStyle w:val="ListParagraph"/>
        <w:numPr>
          <w:ilvl w:val="0"/>
          <w:numId w:val="9"/>
        </w:numPr>
        <w:spacing w:after="0"/>
      </w:pPr>
      <w:r w:rsidRPr="00E66343">
        <w:t xml:space="preserve">Investigate transformation of the grid in </w:t>
      </w:r>
      <w:r w:rsidR="003217A9">
        <w:t xml:space="preserve">terms of </w:t>
      </w:r>
      <w:r w:rsidRPr="00E66343">
        <w:t xml:space="preserve">both supply and demand. </w:t>
      </w:r>
    </w:p>
    <w:p w14:paraId="4BC3D2F8" w14:textId="7D3D27AC" w:rsidR="00E66343" w:rsidRPr="00E66343" w:rsidRDefault="003217A9" w:rsidP="006E3EFD">
      <w:pPr>
        <w:pStyle w:val="ListParagraph"/>
        <w:numPr>
          <w:ilvl w:val="0"/>
          <w:numId w:val="9"/>
        </w:numPr>
        <w:spacing w:after="0"/>
      </w:pPr>
      <w:r>
        <w:t xml:space="preserve">Identify potential short- and long-term options </w:t>
      </w:r>
      <w:r w:rsidR="00E777DF">
        <w:t xml:space="preserve">based on </w:t>
      </w:r>
      <w:r w:rsidRPr="00E66343">
        <w:t>high-level</w:t>
      </w:r>
      <w:r w:rsidR="00E66343" w:rsidRPr="00E66343">
        <w:t xml:space="preserve"> cost </w:t>
      </w:r>
      <w:r w:rsidR="00E777DF">
        <w:t>estimates of certain elements of electrification.</w:t>
      </w:r>
    </w:p>
    <w:p w14:paraId="265552F6" w14:textId="51B62731" w:rsidR="00E66343" w:rsidRPr="00E66343" w:rsidRDefault="00E777DF" w:rsidP="006E3EFD">
      <w:pPr>
        <w:pStyle w:val="ListParagraph"/>
        <w:numPr>
          <w:ilvl w:val="0"/>
          <w:numId w:val="9"/>
        </w:numPr>
        <w:spacing w:after="0"/>
      </w:pPr>
      <w:r>
        <w:t>Discuss</w:t>
      </w:r>
      <w:r w:rsidR="00E66343" w:rsidRPr="00E66343">
        <w:t xml:space="preserve"> options to maintain and enhance </w:t>
      </w:r>
      <w:r>
        <w:t>bulk electric</w:t>
      </w:r>
      <w:r w:rsidR="00E66343" w:rsidRPr="00E66343">
        <w:t xml:space="preserve"> system reliability in the grid of the future</w:t>
      </w:r>
      <w:r>
        <w:t>:</w:t>
      </w:r>
    </w:p>
    <w:p w14:paraId="325C7D50" w14:textId="1A27F524" w:rsidR="00E66343" w:rsidRPr="00E66343" w:rsidRDefault="00E66343" w:rsidP="006E3EFD">
      <w:pPr>
        <w:pStyle w:val="ListParagraph"/>
        <w:numPr>
          <w:ilvl w:val="1"/>
          <w:numId w:val="9"/>
        </w:numPr>
        <w:spacing w:after="0"/>
      </w:pPr>
      <w:r w:rsidRPr="00E66343">
        <w:t xml:space="preserve">Understanding the </w:t>
      </w:r>
      <w:r w:rsidR="005E2573">
        <w:t>Planning</w:t>
      </w:r>
      <w:r w:rsidR="005E2573" w:rsidRPr="00E66343">
        <w:t xml:space="preserve"> </w:t>
      </w:r>
      <w:r w:rsidRPr="00E66343">
        <w:t>Reserve Margin (PRM) requirements and the potential changes to PRM over the next three decades, or how our approaches to system reliability and system adequacy must change from PRM to other metrics</w:t>
      </w:r>
      <w:r w:rsidR="00E777DF">
        <w:t>;</w:t>
      </w:r>
    </w:p>
    <w:p w14:paraId="214026A7" w14:textId="1EA4B66E" w:rsidR="00E66343" w:rsidRDefault="00E66343" w:rsidP="006E3EFD">
      <w:pPr>
        <w:pStyle w:val="ListParagraph"/>
        <w:numPr>
          <w:ilvl w:val="1"/>
          <w:numId w:val="9"/>
        </w:numPr>
        <w:spacing w:after="0"/>
      </w:pPr>
      <w:r w:rsidRPr="00E66343">
        <w:t>Recommendations on potential changes in the policies, incentives and societal behaviors that may support system reliability enhancement in the grid of the future</w:t>
      </w:r>
      <w:r w:rsidR="00841F8A">
        <w:t>.</w:t>
      </w:r>
    </w:p>
    <w:p w14:paraId="3005734F" w14:textId="77777777" w:rsidR="00841F8A" w:rsidRPr="00E66343" w:rsidRDefault="00841F8A" w:rsidP="00841F8A">
      <w:pPr>
        <w:spacing w:after="0"/>
      </w:pPr>
    </w:p>
    <w:p w14:paraId="35179E2C" w14:textId="5338E591" w:rsidR="00E66343" w:rsidRDefault="00E66343" w:rsidP="00E66343">
      <w:r w:rsidRPr="00E66343">
        <w:lastRenderedPageBreak/>
        <w:t xml:space="preserve">To better understand the path of the grid transformation, different scenarios will be studied to examine the path </w:t>
      </w:r>
      <w:r w:rsidR="00247660">
        <w:t>toward</w:t>
      </w:r>
      <w:r w:rsidRPr="00E66343">
        <w:t xml:space="preserve"> greater amounts of decarbonization and electrification by 2050. The </w:t>
      </w:r>
      <w:r w:rsidR="00247660">
        <w:t>results</w:t>
      </w:r>
      <w:r w:rsidRPr="00E66343">
        <w:t xml:space="preserve"> of the study can help inform decision makers as the SPP region gradually departs from conventional resources and technologies which have served the SPP grid for over a century. </w:t>
      </w:r>
    </w:p>
    <w:p w14:paraId="6AB14018" w14:textId="23777D77" w:rsidR="00413C17" w:rsidRPr="00E66343" w:rsidRDefault="00640434" w:rsidP="00413C17">
      <w:r>
        <w:t>The progress of</w:t>
      </w:r>
      <w:r w:rsidR="00413C17" w:rsidRPr="001149AA">
        <w:t xml:space="preserve"> the study is currently tracking toward completion in early 2025. A technical revie</w:t>
      </w:r>
      <w:r w:rsidR="00D63068">
        <w:t>w</w:t>
      </w:r>
      <w:r w:rsidR="00413C17" w:rsidRPr="0005389C">
        <w:t xml:space="preserve"> committee is overseeing the study and providing technical assistance where needed. This committee includes representatives from the ESWG, CPPTF, SAWG, REAL team and FGSAG</w:t>
      </w:r>
      <w:r w:rsidR="00413C17" w:rsidRPr="00413C17">
        <w:t>.</w:t>
      </w:r>
    </w:p>
    <w:p w14:paraId="162E1835" w14:textId="5A2358D7" w:rsidR="003271B0" w:rsidRDefault="003271B0" w:rsidP="003271B0">
      <w:pPr>
        <w:pStyle w:val="Heading4"/>
      </w:pPr>
      <w:r>
        <w:t>Recommendations</w:t>
      </w:r>
    </w:p>
    <w:p w14:paraId="31B1705F" w14:textId="5D265085" w:rsidR="003271B0" w:rsidRDefault="007F285B" w:rsidP="003271B0">
      <w:r>
        <w:t xml:space="preserve">The </w:t>
      </w:r>
      <w:r w:rsidR="003271B0">
        <w:t>FERNS will help address several recommendations that are currently underway</w:t>
      </w:r>
      <w:r w:rsidR="00BB1EEA">
        <w:t xml:space="preserve"> and the </w:t>
      </w:r>
      <w:r w:rsidR="00AC37C0">
        <w:t xml:space="preserve">FGSAG has been tasked with </w:t>
      </w:r>
      <w:r w:rsidR="001576A3">
        <w:t>overseeing the study.</w:t>
      </w:r>
    </w:p>
    <w:p w14:paraId="4091D680" w14:textId="74C220A6" w:rsidR="001576A3" w:rsidRPr="003271B0" w:rsidRDefault="001576A3" w:rsidP="005608ED">
      <w:pPr>
        <w:pStyle w:val="ListParagraph"/>
        <w:numPr>
          <w:ilvl w:val="0"/>
          <w:numId w:val="11"/>
        </w:numPr>
      </w:pPr>
      <w:r w:rsidRPr="005608ED">
        <w:rPr>
          <w:b/>
          <w:bCs/>
        </w:rPr>
        <w:t>Recommendation AD24-1</w:t>
      </w:r>
      <w:r w:rsidR="00A44E5A">
        <w:rPr>
          <w:b/>
          <w:bCs/>
        </w:rPr>
        <w:t xml:space="preserve"> (Accepted)</w:t>
      </w:r>
      <w:r>
        <w:t xml:space="preserve">: FGSAG </w:t>
      </w:r>
      <w:r w:rsidR="003922B7">
        <w:t xml:space="preserve">will </w:t>
      </w:r>
      <w:r w:rsidR="005569EC">
        <w:t xml:space="preserve">continue oversight of </w:t>
      </w:r>
      <w:r w:rsidR="003543CE">
        <w:t xml:space="preserve">the </w:t>
      </w:r>
      <w:r w:rsidR="005A6280" w:rsidRPr="005A6280">
        <w:t>Future Energy &amp; Resource Needs Study (FERNS)</w:t>
      </w:r>
      <w:r w:rsidR="005A6280">
        <w:t xml:space="preserve"> </w:t>
      </w:r>
      <w:r w:rsidR="005569EC">
        <w:t>and make recommendations based on study results.</w:t>
      </w:r>
    </w:p>
    <w:p w14:paraId="3A2F83BD" w14:textId="4FD1C9A5" w:rsidR="00181F56" w:rsidRDefault="001D2949" w:rsidP="00181F56">
      <w:pPr>
        <w:pStyle w:val="Heading3"/>
      </w:pPr>
      <w:bookmarkStart w:id="7" w:name="_Toc178834443"/>
      <w:r>
        <w:t xml:space="preserve">Load of the </w:t>
      </w:r>
      <w:r w:rsidR="0085377E">
        <w:t>Future</w:t>
      </w:r>
      <w:bookmarkEnd w:id="7"/>
    </w:p>
    <w:p w14:paraId="15A8333D" w14:textId="081A43E8" w:rsidR="00B3102E" w:rsidRDefault="000E0C9D" w:rsidP="00B3102E">
      <w:r>
        <w:t xml:space="preserve">Since publishing FGSAG’s initial recommendation report, </w:t>
      </w:r>
      <w:r w:rsidR="00293128">
        <w:t xml:space="preserve">SPP has continued to increase its focus on how </w:t>
      </w:r>
      <w:r w:rsidR="00B535CB">
        <w:t xml:space="preserve">to better anticipate and react to operational and planning impacts </w:t>
      </w:r>
      <w:r w:rsidR="003437B3">
        <w:t>for the</w:t>
      </w:r>
      <w:r w:rsidR="00AC3696">
        <w:t xml:space="preserve"> </w:t>
      </w:r>
      <w:r w:rsidR="003577FC">
        <w:t>l</w:t>
      </w:r>
      <w:r w:rsidR="00AC3696">
        <w:t xml:space="preserve">oad of the </w:t>
      </w:r>
      <w:r w:rsidR="003577FC">
        <w:t>f</w:t>
      </w:r>
      <w:r w:rsidR="00AC3696">
        <w:t>uture</w:t>
      </w:r>
      <w:r w:rsidR="009847E7">
        <w:t xml:space="preserve">. </w:t>
      </w:r>
    </w:p>
    <w:p w14:paraId="753667CF" w14:textId="435AA36C" w:rsidR="00F20EF5" w:rsidRDefault="00D26B0D" w:rsidP="00D72D21">
      <w:r>
        <w:t>A</w:t>
      </w:r>
      <w:r w:rsidR="00702F02" w:rsidRPr="00702F02">
        <w:t xml:space="preserve"> Load of the Future</w:t>
      </w:r>
      <w:r w:rsidR="001434BB">
        <w:t xml:space="preserve"> Assessment</w:t>
      </w:r>
      <w:r>
        <w:t xml:space="preserve"> is underway</w:t>
      </w:r>
      <w:r w:rsidR="001434BB">
        <w:t xml:space="preserve">, </w:t>
      </w:r>
      <w:r w:rsidR="00DC3DB9">
        <w:t>which include</w:t>
      </w:r>
      <w:r w:rsidR="00AE5273">
        <w:t>s</w:t>
      </w:r>
      <w:r w:rsidR="00DC3DB9">
        <w:t xml:space="preserve"> </w:t>
      </w:r>
      <w:r w:rsidR="0042351C">
        <w:t>compiling and assessing</w:t>
      </w:r>
      <w:r w:rsidR="00702F02" w:rsidRPr="00702F02">
        <w:t xml:space="preserve"> </w:t>
      </w:r>
      <w:r w:rsidR="00E263E1">
        <w:t xml:space="preserve">an array </w:t>
      </w:r>
      <w:r w:rsidR="00702F02" w:rsidRPr="00702F02">
        <w:t xml:space="preserve">of SPP’s current processes regarding </w:t>
      </w:r>
      <w:r w:rsidR="00374381">
        <w:t>b</w:t>
      </w:r>
      <w:r w:rsidR="00702F02" w:rsidRPr="00702F02">
        <w:t>ehind</w:t>
      </w:r>
      <w:r w:rsidR="000C064D">
        <w:t>-</w:t>
      </w:r>
      <w:r w:rsidR="00702F02" w:rsidRPr="00702F02">
        <w:t>the</w:t>
      </w:r>
      <w:r w:rsidR="000C064D">
        <w:t>-m</w:t>
      </w:r>
      <w:r w:rsidR="00702F02" w:rsidRPr="00702F02">
        <w:t xml:space="preserve">eter </w:t>
      </w:r>
      <w:r w:rsidR="000C064D">
        <w:t>g</w:t>
      </w:r>
      <w:r w:rsidR="00702F02" w:rsidRPr="00702F02">
        <w:t xml:space="preserve">eneration, </w:t>
      </w:r>
      <w:r w:rsidR="00BB4838">
        <w:t>d</w:t>
      </w:r>
      <w:r w:rsidR="00702F02" w:rsidRPr="00702F02">
        <w:t xml:space="preserve">emand </w:t>
      </w:r>
      <w:r w:rsidR="00BB4838">
        <w:t>r</w:t>
      </w:r>
      <w:r w:rsidR="00702F02" w:rsidRPr="00702F02">
        <w:t xml:space="preserve">esponse, </w:t>
      </w:r>
      <w:r w:rsidR="00BB4838">
        <w:t>m</w:t>
      </w:r>
      <w:r w:rsidR="00702F02" w:rsidRPr="00702F02">
        <w:t xml:space="preserve">arket </w:t>
      </w:r>
      <w:r w:rsidR="00FD284E">
        <w:t>s</w:t>
      </w:r>
      <w:r w:rsidR="00702F02" w:rsidRPr="00702F02">
        <w:t xml:space="preserve">torage </w:t>
      </w:r>
      <w:r w:rsidR="00FD284E">
        <w:t>r</w:t>
      </w:r>
      <w:r w:rsidR="00702F02" w:rsidRPr="00702F02">
        <w:t xml:space="preserve">esources, </w:t>
      </w:r>
      <w:r w:rsidR="00FD284E">
        <w:t>s</w:t>
      </w:r>
      <w:r w:rsidR="00702F02" w:rsidRPr="00702F02">
        <w:t xml:space="preserve">torage as </w:t>
      </w:r>
      <w:r w:rsidR="00FD284E">
        <w:t>t</w:t>
      </w:r>
      <w:r w:rsidR="00702F02" w:rsidRPr="00702F02">
        <w:t xml:space="preserve">ransmission </w:t>
      </w:r>
      <w:r w:rsidR="00FD284E">
        <w:t>o</w:t>
      </w:r>
      <w:r w:rsidR="00702F02" w:rsidRPr="00702F02">
        <w:t xml:space="preserve">nly </w:t>
      </w:r>
      <w:r w:rsidR="00FD284E">
        <w:t>a</w:t>
      </w:r>
      <w:r w:rsidR="00702F02" w:rsidRPr="00702F02">
        <w:t xml:space="preserve">ssets, </w:t>
      </w:r>
      <w:r w:rsidR="000627CE">
        <w:t>c</w:t>
      </w:r>
      <w:r w:rsidR="00702F02" w:rsidRPr="00702F02">
        <w:t xml:space="preserve">o-located </w:t>
      </w:r>
      <w:r w:rsidR="006F09CA">
        <w:t>l</w:t>
      </w:r>
      <w:r w:rsidR="00702F02" w:rsidRPr="00702F02">
        <w:t xml:space="preserve">oad and </w:t>
      </w:r>
      <w:r w:rsidR="006F09CA">
        <w:t>g</w:t>
      </w:r>
      <w:r w:rsidR="00702F02" w:rsidRPr="00702F02">
        <w:t xml:space="preserve">eneration in </w:t>
      </w:r>
      <w:r w:rsidR="006F09CA">
        <w:t>m</w:t>
      </w:r>
      <w:r w:rsidR="00702F02" w:rsidRPr="00702F02">
        <w:t xml:space="preserve">arkets, </w:t>
      </w:r>
      <w:r w:rsidR="006F09CA">
        <w:t>o</w:t>
      </w:r>
      <w:r w:rsidR="00702F02" w:rsidRPr="00702F02">
        <w:t xml:space="preserve">perations, </w:t>
      </w:r>
      <w:r w:rsidR="006F09CA">
        <w:t>t</w:t>
      </w:r>
      <w:r w:rsidR="00702F02" w:rsidRPr="00702F02">
        <w:t xml:space="preserve">ransmission </w:t>
      </w:r>
      <w:r w:rsidR="006F09CA">
        <w:t>p</w:t>
      </w:r>
      <w:r w:rsidR="00702F02" w:rsidRPr="00702F02">
        <w:t xml:space="preserve">lanning within the ITP, </w:t>
      </w:r>
      <w:r w:rsidR="006F09CA">
        <w:t>t</w:t>
      </w:r>
      <w:r w:rsidR="00702F02" w:rsidRPr="00702F02">
        <w:t xml:space="preserve">ransmission </w:t>
      </w:r>
      <w:r w:rsidR="006F09CA">
        <w:t>s</w:t>
      </w:r>
      <w:r w:rsidR="00702F02" w:rsidRPr="00702F02">
        <w:t xml:space="preserve">ervice, </w:t>
      </w:r>
      <w:r w:rsidR="006F09CA">
        <w:t>g</w:t>
      </w:r>
      <w:r w:rsidR="00702F02" w:rsidRPr="00702F02">
        <w:t xml:space="preserve">enerator </w:t>
      </w:r>
      <w:r w:rsidR="006F09CA">
        <w:t>i</w:t>
      </w:r>
      <w:r w:rsidR="00702F02" w:rsidRPr="00702F02">
        <w:t xml:space="preserve">nterconnection, </w:t>
      </w:r>
      <w:r w:rsidR="006F09CA">
        <w:t>r</w:t>
      </w:r>
      <w:r w:rsidR="00702F02" w:rsidRPr="00702F02">
        <w:t xml:space="preserve">esource </w:t>
      </w:r>
      <w:r w:rsidR="006F09CA">
        <w:t>a</w:t>
      </w:r>
      <w:r w:rsidR="00702F02" w:rsidRPr="00702F02">
        <w:t xml:space="preserve">dequacy, and </w:t>
      </w:r>
      <w:r w:rsidR="006F09CA">
        <w:t>s</w:t>
      </w:r>
      <w:r w:rsidR="00702F02" w:rsidRPr="00702F02">
        <w:t xml:space="preserve">ettlements. The objective of the assessment is to ensure consistency across the RTO systems and studies as appropriate and to evaluate any policy modifications identified for each area and process. </w:t>
      </w:r>
    </w:p>
    <w:p w14:paraId="7EF4AE76" w14:textId="36720D75" w:rsidR="00F20EF5" w:rsidRDefault="00D04A17" w:rsidP="00F20EF5">
      <w:r>
        <w:t>Load</w:t>
      </w:r>
      <w:r w:rsidR="00702F02" w:rsidRPr="00702F02">
        <w:t xml:space="preserve"> growth is </w:t>
      </w:r>
      <w:r>
        <w:t>expected</w:t>
      </w:r>
      <w:r w:rsidR="00702F02" w:rsidRPr="00702F02">
        <w:t xml:space="preserve"> to occur at unprecedented levels</w:t>
      </w:r>
      <w:r w:rsidR="00CE1FDE">
        <w:t>,</w:t>
      </w:r>
      <w:r w:rsidR="00702F02" w:rsidRPr="00702F02">
        <w:t xml:space="preserve"> and renewable energy </w:t>
      </w:r>
      <w:r w:rsidR="00605714">
        <w:t>will likely continue</w:t>
      </w:r>
      <w:r w:rsidR="00605714" w:rsidRPr="00702F02">
        <w:t xml:space="preserve"> </w:t>
      </w:r>
      <w:r w:rsidR="00702F02" w:rsidRPr="00702F02">
        <w:t>increasing penetration</w:t>
      </w:r>
      <w:r w:rsidR="00605714">
        <w:t>, which</w:t>
      </w:r>
      <w:r w:rsidR="00702F02" w:rsidRPr="00702F02">
        <w:t xml:space="preserve"> presents different challenges and opportunities. </w:t>
      </w:r>
      <w:r w:rsidR="00CE1FDE">
        <w:t>F</w:t>
      </w:r>
      <w:r w:rsidR="00702F02" w:rsidRPr="00702F02">
        <w:t xml:space="preserve">uture policies </w:t>
      </w:r>
      <w:r w:rsidR="00CE1FDE">
        <w:t xml:space="preserve">should be in place to </w:t>
      </w:r>
      <w:r w:rsidR="00702F02" w:rsidRPr="00702F02">
        <w:t xml:space="preserve">incentivize optimal outcomes for the SPP region. </w:t>
      </w:r>
      <w:r w:rsidR="00403D13">
        <w:t>These</w:t>
      </w:r>
      <w:r w:rsidR="00702F02" w:rsidRPr="00702F02">
        <w:t xml:space="preserve"> include incentivizing load to locate within SPP, co-locating resources to serve load, </w:t>
      </w:r>
      <w:r w:rsidR="0082650F">
        <w:t xml:space="preserve">and </w:t>
      </w:r>
      <w:r w:rsidR="00702F02" w:rsidRPr="00702F02">
        <w:t xml:space="preserve">functionality to interrupt large unconventional loads during emergency conditions, among others. Assessment of these processes will be comprehensive and will assess the effectiveness of the changes being proposed. </w:t>
      </w:r>
    </w:p>
    <w:p w14:paraId="2ADB7024" w14:textId="364EA7A0" w:rsidR="00F20EF5" w:rsidRDefault="00702F02" w:rsidP="00F20EF5">
      <w:r w:rsidRPr="00702F02">
        <w:t xml:space="preserve">Evolved Energy Research (EER) is compiling a taxonomy overview </w:t>
      </w:r>
      <w:r w:rsidR="000436AA">
        <w:t>to</w:t>
      </w:r>
      <w:r w:rsidRPr="00702F02">
        <w:t xml:space="preserve"> clarify investment drivers and key needs of these loads. Additionally</w:t>
      </w:r>
      <w:r w:rsidR="0082650F">
        <w:t>,</w:t>
      </w:r>
      <w:r w:rsidRPr="00702F02">
        <w:t xml:space="preserve"> they are developing estimates of unconventional load growth quantities and spatial prediction models. </w:t>
      </w:r>
    </w:p>
    <w:p w14:paraId="2E04B4CB" w14:textId="4B8F3F68" w:rsidR="00EF0B57" w:rsidRDefault="00702F02" w:rsidP="00F20EF5">
      <w:r w:rsidRPr="00702F02">
        <w:lastRenderedPageBreak/>
        <w:t xml:space="preserve">SPP will develop a </w:t>
      </w:r>
      <w:r w:rsidR="00AF2848" w:rsidRPr="00702F02">
        <w:t>white</w:t>
      </w:r>
      <w:r w:rsidR="00BB4C91">
        <w:t xml:space="preserve"> </w:t>
      </w:r>
      <w:r w:rsidR="00AF2848" w:rsidRPr="00702F02">
        <w:t>paper</w:t>
      </w:r>
      <w:r w:rsidRPr="00702F02">
        <w:t xml:space="preserve"> </w:t>
      </w:r>
      <w:r w:rsidR="000437A6">
        <w:t>to outline</w:t>
      </w:r>
      <w:r w:rsidR="000437A6" w:rsidRPr="00702F02">
        <w:t xml:space="preserve"> </w:t>
      </w:r>
      <w:r w:rsidRPr="00702F02">
        <w:t xml:space="preserve">the assessment of our processes </w:t>
      </w:r>
      <w:r w:rsidR="00142139">
        <w:t>and establish</w:t>
      </w:r>
      <w:r w:rsidRPr="00702F02">
        <w:t xml:space="preserve"> principles for future policies based</w:t>
      </w:r>
      <w:r w:rsidR="0082650F">
        <w:t xml:space="preserve"> on</w:t>
      </w:r>
      <w:r w:rsidRPr="00702F02">
        <w:t xml:space="preserve"> SPP’s evaluation</w:t>
      </w:r>
      <w:r w:rsidR="0082650F">
        <w:t>s</w:t>
      </w:r>
      <w:r w:rsidRPr="00702F02">
        <w:t xml:space="preserve"> and EER’s findings. </w:t>
      </w:r>
      <w:r w:rsidR="00F76758">
        <w:t xml:space="preserve">The white paper </w:t>
      </w:r>
      <w:r w:rsidR="00037EE4">
        <w:t>should also conside</w:t>
      </w:r>
      <w:r w:rsidR="00963281">
        <w:t xml:space="preserve">r </w:t>
      </w:r>
      <w:r w:rsidR="00F76758">
        <w:t xml:space="preserve">actions that states and member utilities are undertaking </w:t>
      </w:r>
      <w:r w:rsidR="003F591A">
        <w:t>to accommodate large loads.</w:t>
      </w:r>
    </w:p>
    <w:p w14:paraId="4435118F" w14:textId="77777777" w:rsidR="00EF0B57" w:rsidRDefault="00EF0B57" w:rsidP="00EF0B57">
      <w:pPr>
        <w:pStyle w:val="Heading4"/>
      </w:pPr>
      <w:r>
        <w:t>Recommendations</w:t>
      </w:r>
    </w:p>
    <w:p w14:paraId="697FB3BA" w14:textId="0E9F12B3" w:rsidR="00702F02" w:rsidRPr="00702F02" w:rsidRDefault="00403D13" w:rsidP="00741C49">
      <w:pPr>
        <w:pStyle w:val="ListParagraph"/>
        <w:numPr>
          <w:ilvl w:val="0"/>
          <w:numId w:val="10"/>
        </w:numPr>
      </w:pPr>
      <w:r w:rsidRPr="005608ED">
        <w:rPr>
          <w:b/>
          <w:bCs/>
        </w:rPr>
        <w:t>Recommendation AD24-2</w:t>
      </w:r>
      <w:r w:rsidR="00A44E5A">
        <w:rPr>
          <w:b/>
          <w:bCs/>
        </w:rPr>
        <w:t xml:space="preserve"> (Accepted)</w:t>
      </w:r>
      <w:r>
        <w:t xml:space="preserve">: </w:t>
      </w:r>
      <w:r w:rsidR="00702F02" w:rsidRPr="00702F02">
        <w:t xml:space="preserve">FGSAG should monitor the development of the </w:t>
      </w:r>
      <w:r w:rsidR="0082650F">
        <w:t xml:space="preserve">Load of the Future </w:t>
      </w:r>
      <w:r w:rsidR="00AF2848" w:rsidRPr="00702F02">
        <w:t>white paper</w:t>
      </w:r>
      <w:r w:rsidR="00702F02" w:rsidRPr="00702F02">
        <w:t xml:space="preserve">, review the analysis conducted by EER, and </w:t>
      </w:r>
      <w:r w:rsidR="00A84374">
        <w:t xml:space="preserve">help </w:t>
      </w:r>
      <w:r w:rsidR="00B10F8B">
        <w:t xml:space="preserve">to establish </w:t>
      </w:r>
      <w:r w:rsidR="00702F02" w:rsidRPr="00702F02">
        <w:t xml:space="preserve">the guiding principles for future </w:t>
      </w:r>
      <w:r w:rsidR="00AF6CED">
        <w:t>SPP policies.</w:t>
      </w:r>
      <w:r w:rsidR="00702F02" w:rsidRPr="00702F02">
        <w:t xml:space="preserve"> </w:t>
      </w:r>
    </w:p>
    <w:p w14:paraId="665E633C" w14:textId="1FD7B716" w:rsidR="00454DBB" w:rsidRPr="00372AEC" w:rsidRDefault="00454DBB" w:rsidP="00454DBB">
      <w:pPr>
        <w:numPr>
          <w:ilvl w:val="0"/>
          <w:numId w:val="10"/>
        </w:numPr>
        <w:tabs>
          <w:tab w:val="clear" w:pos="2431"/>
        </w:tabs>
        <w:spacing w:after="0"/>
        <w:rPr>
          <w:rFonts w:ascii="Aptos" w:eastAsia="Times New Roman" w:hAnsi="Aptos"/>
        </w:rPr>
      </w:pPr>
      <w:r>
        <w:rPr>
          <w:rFonts w:eastAsia="Times New Roman"/>
          <w:b/>
          <w:bCs/>
        </w:rPr>
        <w:t>Recommendation AD24-3</w:t>
      </w:r>
      <w:r w:rsidR="007C4D0F">
        <w:rPr>
          <w:rFonts w:eastAsia="Times New Roman"/>
          <w:b/>
          <w:bCs/>
        </w:rPr>
        <w:t xml:space="preserve"> (High)</w:t>
      </w:r>
      <w:r>
        <w:rPr>
          <w:rFonts w:eastAsia="Times New Roman"/>
          <w:b/>
          <w:bCs/>
        </w:rPr>
        <w:t xml:space="preserve">: </w:t>
      </w:r>
      <w:r>
        <w:rPr>
          <w:rFonts w:eastAsia="Times New Roman"/>
        </w:rPr>
        <w:t xml:space="preserve">SPP will </w:t>
      </w:r>
      <w:r w:rsidR="003668B8">
        <w:rPr>
          <w:rFonts w:eastAsia="Times New Roman"/>
        </w:rPr>
        <w:t xml:space="preserve">consider </w:t>
      </w:r>
      <w:r w:rsidR="002D38B4">
        <w:rPr>
          <w:rFonts w:eastAsia="Times New Roman"/>
        </w:rPr>
        <w:t xml:space="preserve">adding </w:t>
      </w:r>
      <w:r w:rsidR="00857B7D">
        <w:rPr>
          <w:rFonts w:eastAsia="Times New Roman"/>
        </w:rPr>
        <w:t xml:space="preserve">the </w:t>
      </w:r>
      <w:r w:rsidR="003F379E">
        <w:rPr>
          <w:rFonts w:eastAsia="Times New Roman"/>
        </w:rPr>
        <w:t>locations</w:t>
      </w:r>
      <w:r w:rsidR="004C4C73">
        <w:rPr>
          <w:rFonts w:eastAsia="Times New Roman"/>
        </w:rPr>
        <w:t xml:space="preserve"> of large loads</w:t>
      </w:r>
      <w:r w:rsidR="00857B7D">
        <w:rPr>
          <w:rFonts w:eastAsia="Times New Roman"/>
        </w:rPr>
        <w:t xml:space="preserve"> identified</w:t>
      </w:r>
      <w:r w:rsidR="00167085">
        <w:rPr>
          <w:rFonts w:eastAsia="Times New Roman"/>
        </w:rPr>
        <w:t xml:space="preserve"> in the</w:t>
      </w:r>
      <w:r>
        <w:rPr>
          <w:rFonts w:eastAsia="Times New Roman"/>
        </w:rPr>
        <w:t xml:space="preserve"> Load of the Future efforts </w:t>
      </w:r>
      <w:r w:rsidR="00B6602A">
        <w:rPr>
          <w:rFonts w:eastAsia="Times New Roman"/>
        </w:rPr>
        <w:t>into</w:t>
      </w:r>
      <w:r>
        <w:rPr>
          <w:rFonts w:eastAsia="Times New Roman"/>
        </w:rPr>
        <w:t xml:space="preserve"> future transmission planning</w:t>
      </w:r>
      <w:r w:rsidR="00A47FF0">
        <w:rPr>
          <w:rFonts w:eastAsia="Times New Roman"/>
        </w:rPr>
        <w:t xml:space="preserve"> scenarios</w:t>
      </w:r>
      <w:r>
        <w:rPr>
          <w:rFonts w:eastAsia="Times New Roman"/>
        </w:rPr>
        <w:t>.</w:t>
      </w:r>
      <w:r w:rsidR="00135E65">
        <w:rPr>
          <w:rFonts w:eastAsia="Times New Roman"/>
        </w:rPr>
        <w:t xml:space="preserve"> The FGSAG recommends that</w:t>
      </w:r>
      <w:r w:rsidR="00FD7EC4">
        <w:rPr>
          <w:rFonts w:eastAsia="Times New Roman"/>
        </w:rPr>
        <w:t xml:space="preserve"> </w:t>
      </w:r>
      <w:r w:rsidR="00FE7F65">
        <w:rPr>
          <w:rFonts w:eastAsia="Times New Roman"/>
        </w:rPr>
        <w:t>(1) SPP develop a methodology for</w:t>
      </w:r>
      <w:r w:rsidR="00782F77">
        <w:rPr>
          <w:rFonts w:eastAsia="Times New Roman"/>
        </w:rPr>
        <w:t xml:space="preserve"> adding the locations of large loads and (2) include in </w:t>
      </w:r>
      <w:r w:rsidR="00FD7EC4">
        <w:rPr>
          <w:rFonts w:eastAsia="Times New Roman"/>
        </w:rPr>
        <w:t xml:space="preserve">transmission planning </w:t>
      </w:r>
      <w:r w:rsidR="00782F77">
        <w:rPr>
          <w:rFonts w:eastAsia="Times New Roman"/>
        </w:rPr>
        <w:t>studies</w:t>
      </w:r>
      <w:r w:rsidR="00135E65">
        <w:rPr>
          <w:rFonts w:eastAsia="Times New Roman"/>
        </w:rPr>
        <w:t xml:space="preserve"> </w:t>
      </w:r>
      <w:r w:rsidR="00843EC5">
        <w:rPr>
          <w:rFonts w:eastAsia="Times New Roman"/>
        </w:rPr>
        <w:t>an</w:t>
      </w:r>
      <w:r w:rsidR="00E4329C">
        <w:rPr>
          <w:rFonts w:eastAsia="Times New Roman"/>
        </w:rPr>
        <w:t xml:space="preserve"> objective</w:t>
      </w:r>
      <w:r w:rsidR="00843EC5">
        <w:rPr>
          <w:rFonts w:eastAsia="Times New Roman"/>
        </w:rPr>
        <w:t>ly-derived</w:t>
      </w:r>
      <w:r w:rsidR="00E4329C">
        <w:rPr>
          <w:rFonts w:eastAsia="Times New Roman"/>
        </w:rPr>
        <w:t xml:space="preserve"> long-term load forecast</w:t>
      </w:r>
      <w:r w:rsidR="002A181A">
        <w:rPr>
          <w:rFonts w:eastAsia="Times New Roman"/>
        </w:rPr>
        <w:t xml:space="preserve"> to identify the transmission needs of future loads</w:t>
      </w:r>
      <w:r w:rsidR="00E4329C">
        <w:rPr>
          <w:rFonts w:eastAsia="Times New Roman"/>
        </w:rPr>
        <w:t>.</w:t>
      </w:r>
    </w:p>
    <w:p w14:paraId="022B349D" w14:textId="77777777" w:rsidR="0082650F" w:rsidRDefault="0082650F" w:rsidP="00372AEC">
      <w:pPr>
        <w:tabs>
          <w:tab w:val="clear" w:pos="2431"/>
        </w:tabs>
        <w:spacing w:after="0"/>
        <w:ind w:left="720"/>
        <w:rPr>
          <w:rFonts w:ascii="Aptos" w:eastAsia="Times New Roman" w:hAnsi="Aptos"/>
        </w:rPr>
      </w:pPr>
    </w:p>
    <w:p w14:paraId="0DDFF8CC" w14:textId="195FA65E" w:rsidR="00515A31" w:rsidRDefault="00676F93" w:rsidP="00207920">
      <w:pPr>
        <w:pStyle w:val="ListParagraph"/>
        <w:numPr>
          <w:ilvl w:val="0"/>
          <w:numId w:val="10"/>
        </w:numPr>
      </w:pPr>
      <w:r>
        <w:rPr>
          <w:b/>
          <w:bCs/>
        </w:rPr>
        <w:t>Recommendation AD24</w:t>
      </w:r>
      <w:r w:rsidRPr="00FE718D">
        <w:rPr>
          <w:b/>
          <w:bCs/>
        </w:rPr>
        <w:t>-</w:t>
      </w:r>
      <w:r w:rsidRPr="001149AA">
        <w:rPr>
          <w:b/>
          <w:bCs/>
        </w:rPr>
        <w:t>4</w:t>
      </w:r>
      <w:r w:rsidR="007C4D0F">
        <w:rPr>
          <w:b/>
          <w:bCs/>
        </w:rPr>
        <w:t xml:space="preserve"> (Medium)</w:t>
      </w:r>
      <w:r>
        <w:t>:</w:t>
      </w:r>
      <w:r w:rsidR="00FE718D">
        <w:t xml:space="preserve"> SPP will </w:t>
      </w:r>
      <w:r w:rsidR="00FE50A2">
        <w:t xml:space="preserve">determine what </w:t>
      </w:r>
      <w:r w:rsidR="00AA2529">
        <w:t xml:space="preserve">mechanisms and </w:t>
      </w:r>
      <w:r w:rsidR="00FE50A2">
        <w:t xml:space="preserve">market-design incentives </w:t>
      </w:r>
      <w:r w:rsidR="00443CE4">
        <w:t>could be implemented to</w:t>
      </w:r>
      <w:r w:rsidR="00961721">
        <w:t xml:space="preserve"> encourage demand </w:t>
      </w:r>
      <w:r w:rsidR="007912D7">
        <w:t xml:space="preserve">flexibility </w:t>
      </w:r>
      <w:r w:rsidR="000B7B4F">
        <w:t xml:space="preserve">in order </w:t>
      </w:r>
      <w:r w:rsidR="00914466">
        <w:t xml:space="preserve">to achieve </w:t>
      </w:r>
      <w:r w:rsidR="00831660">
        <w:t>more efficient</w:t>
      </w:r>
      <w:r w:rsidR="00914466">
        <w:t xml:space="preserve"> </w:t>
      </w:r>
      <w:r w:rsidR="00831660">
        <w:t>load</w:t>
      </w:r>
      <w:r w:rsidR="00914466">
        <w:t xml:space="preserve"> </w:t>
      </w:r>
      <w:r w:rsidR="007E3191">
        <w:t>profile for SPP.</w:t>
      </w:r>
    </w:p>
    <w:p w14:paraId="28F195C3" w14:textId="38F2D092" w:rsidR="00CB73BF" w:rsidRPr="00702F02" w:rsidRDefault="00961962" w:rsidP="00E51234">
      <w:pPr>
        <w:pStyle w:val="ListParagraph"/>
        <w:numPr>
          <w:ilvl w:val="0"/>
          <w:numId w:val="10"/>
        </w:numPr>
      </w:pPr>
      <w:r>
        <w:rPr>
          <w:b/>
          <w:bCs/>
        </w:rPr>
        <w:t>Recommendation AD24-5</w:t>
      </w:r>
      <w:r w:rsidR="007C4D0F">
        <w:rPr>
          <w:b/>
          <w:bCs/>
        </w:rPr>
        <w:t xml:space="preserve"> (</w:t>
      </w:r>
      <w:r w:rsidR="00CA0C1C">
        <w:rPr>
          <w:b/>
          <w:bCs/>
        </w:rPr>
        <w:t>High)</w:t>
      </w:r>
      <w:r>
        <w:rPr>
          <w:b/>
          <w:bCs/>
        </w:rPr>
        <w:t xml:space="preserve">: </w:t>
      </w:r>
      <w:r>
        <w:t xml:space="preserve">SPP will </w:t>
      </w:r>
      <w:r w:rsidR="00EA707D">
        <w:t>determine mechanisms</w:t>
      </w:r>
      <w:r>
        <w:t xml:space="preserve"> for the flexibility of </w:t>
      </w:r>
      <w:r w:rsidR="001A2619">
        <w:t>load</w:t>
      </w:r>
      <w:r w:rsidR="00DA61ED">
        <w:t xml:space="preserve">, including </w:t>
      </w:r>
      <w:r w:rsidR="00132406">
        <w:t>emerging large, flexible loads,</w:t>
      </w:r>
      <w:r>
        <w:t xml:space="preserve"> to help meet SPP’s </w:t>
      </w:r>
      <w:r w:rsidR="00EF28E8">
        <w:t xml:space="preserve">regional </w:t>
      </w:r>
      <w:r>
        <w:t>needs with the impact</w:t>
      </w:r>
      <w:r w:rsidR="00EF28E8">
        <w:t>s</w:t>
      </w:r>
      <w:r>
        <w:t xml:space="preserve"> on energy and resource adequacy, in addressing issues with connecting new loads. </w:t>
      </w:r>
    </w:p>
    <w:p w14:paraId="7E0A9FDC" w14:textId="0BABBA3E" w:rsidR="00425B98" w:rsidRDefault="00DF70BA" w:rsidP="00DF70BA">
      <w:pPr>
        <w:pStyle w:val="Heading3"/>
      </w:pPr>
      <w:bookmarkStart w:id="8" w:name="_Toc178834444"/>
      <w:r>
        <w:t xml:space="preserve">Artificial Intelligence’s Role in Managing the </w:t>
      </w:r>
      <w:r w:rsidR="00C25281">
        <w:t>G</w:t>
      </w:r>
      <w:r w:rsidR="00425B98">
        <w:t>rid</w:t>
      </w:r>
      <w:bookmarkEnd w:id="8"/>
    </w:p>
    <w:p w14:paraId="18F2AFC3" w14:textId="6057740B" w:rsidR="00B61175" w:rsidRDefault="009C08D0" w:rsidP="00186D46">
      <w:r>
        <w:t xml:space="preserve">The capabilities of </w:t>
      </w:r>
      <w:r w:rsidR="00736E19">
        <w:t>artificial intelligence (</w:t>
      </w:r>
      <w:r>
        <w:t>AI</w:t>
      </w:r>
      <w:r w:rsidR="00736E19">
        <w:t>)</w:t>
      </w:r>
      <w:r>
        <w:t xml:space="preserve"> and AI-assisted applications are increasing at a rapid pace</w:t>
      </w:r>
      <w:r w:rsidR="00BE7B68">
        <w:t>.</w:t>
      </w:r>
      <w:r w:rsidR="00B748CE">
        <w:t xml:space="preserve"> </w:t>
      </w:r>
      <w:r w:rsidR="00BE7B68">
        <w:t>T</w:t>
      </w:r>
      <w:r w:rsidR="00B62B21">
        <w:t xml:space="preserve">here are use cases in development that </w:t>
      </w:r>
      <w:r w:rsidR="007E5D9B">
        <w:t xml:space="preserve">will </w:t>
      </w:r>
      <w:r w:rsidR="007270C2">
        <w:t xml:space="preserve">help describe </w:t>
      </w:r>
      <w:r w:rsidR="00A60DEE">
        <w:t>me</w:t>
      </w:r>
      <w:r w:rsidR="00951DD0">
        <w:t xml:space="preserve">thods </w:t>
      </w:r>
      <w:r w:rsidR="00F53F60">
        <w:t>for using</w:t>
      </w:r>
      <w:r w:rsidR="00B62B21">
        <w:t xml:space="preserve"> AI in better managing the grid.</w:t>
      </w:r>
      <w:r w:rsidR="00736E19">
        <w:t xml:space="preserve"> Areas where AI can help with the grid include</w:t>
      </w:r>
      <w:r w:rsidR="00B61175">
        <w:t>:</w:t>
      </w:r>
    </w:p>
    <w:p w14:paraId="059B5397" w14:textId="5614988A" w:rsidR="00315F82" w:rsidRDefault="00401034" w:rsidP="00B61175">
      <w:pPr>
        <w:pStyle w:val="ListParagraph"/>
        <w:numPr>
          <w:ilvl w:val="0"/>
          <w:numId w:val="3"/>
        </w:numPr>
      </w:pPr>
      <w:r>
        <w:rPr>
          <w:b/>
          <w:bCs/>
        </w:rPr>
        <w:t>Visibility.</w:t>
      </w:r>
      <w:r w:rsidR="00B61175">
        <w:t xml:space="preserve"> </w:t>
      </w:r>
      <w:r>
        <w:t xml:space="preserve">AI </w:t>
      </w:r>
      <w:r w:rsidR="002C3C3D">
        <w:t xml:space="preserve">may </w:t>
      </w:r>
      <w:r w:rsidR="00F126F3">
        <w:t>help operators understand the behavior and configuration of elements of the power grid that otherwise are not directly measurable</w:t>
      </w:r>
      <w:r w:rsidR="001637F8">
        <w:t>.</w:t>
      </w:r>
    </w:p>
    <w:p w14:paraId="51AC0AED" w14:textId="6F2CD2ED" w:rsidR="00186D46" w:rsidRDefault="00315F82" w:rsidP="00B61175">
      <w:pPr>
        <w:pStyle w:val="ListParagraph"/>
        <w:numPr>
          <w:ilvl w:val="0"/>
          <w:numId w:val="3"/>
        </w:numPr>
      </w:pPr>
      <w:r>
        <w:rPr>
          <w:b/>
          <w:bCs/>
        </w:rPr>
        <w:t>P</w:t>
      </w:r>
      <w:r w:rsidR="00B61175" w:rsidRPr="00315F82">
        <w:rPr>
          <w:b/>
          <w:bCs/>
        </w:rPr>
        <w:t>rediction</w:t>
      </w:r>
      <w:r>
        <w:rPr>
          <w:b/>
          <w:bCs/>
        </w:rPr>
        <w:t>.</w:t>
      </w:r>
      <w:r w:rsidR="001D705A">
        <w:t xml:space="preserve"> </w:t>
      </w:r>
      <w:r w:rsidR="00596233">
        <w:t xml:space="preserve">AI </w:t>
      </w:r>
      <w:r w:rsidR="002C3C3D">
        <w:t>may</w:t>
      </w:r>
      <w:r w:rsidR="00F53F60">
        <w:t xml:space="preserve"> </w:t>
      </w:r>
      <w:r w:rsidR="00596233">
        <w:t>be used to predict the future state of key variables that are needed to operate and optimize the system</w:t>
      </w:r>
      <w:r w:rsidR="00F53F60">
        <w:t xml:space="preserve">, or to do so more quickly than is possible with traditional </w:t>
      </w:r>
      <w:r w:rsidR="000A6C29">
        <w:t>modeling</w:t>
      </w:r>
      <w:r w:rsidR="00F53F60">
        <w:t xml:space="preserve"> methods</w:t>
      </w:r>
      <w:r w:rsidR="00596233">
        <w:t xml:space="preserve">. </w:t>
      </w:r>
    </w:p>
    <w:p w14:paraId="573CC6C0" w14:textId="25A4C469" w:rsidR="003451C6" w:rsidRDefault="00E4448A" w:rsidP="00140251">
      <w:pPr>
        <w:pStyle w:val="ListParagraph"/>
        <w:numPr>
          <w:ilvl w:val="0"/>
          <w:numId w:val="3"/>
        </w:numPr>
      </w:pPr>
      <w:r>
        <w:rPr>
          <w:b/>
          <w:bCs/>
        </w:rPr>
        <w:t>Optimization.</w:t>
      </w:r>
      <w:r>
        <w:t xml:space="preserve"> </w:t>
      </w:r>
      <w:r w:rsidR="00D225B0">
        <w:t>Operations and planning</w:t>
      </w:r>
      <w:r w:rsidR="006276A2">
        <w:t xml:space="preserve"> </w:t>
      </w:r>
      <w:r w:rsidR="002C3C3D">
        <w:t>may</w:t>
      </w:r>
      <w:r w:rsidR="00EA4FF4">
        <w:t xml:space="preserve"> </w:t>
      </w:r>
      <w:r w:rsidR="00D225B0">
        <w:t>use AI to</w:t>
      </w:r>
      <w:r>
        <w:t xml:space="preserve"> </w:t>
      </w:r>
      <w:r w:rsidR="00EA4FF4">
        <w:t xml:space="preserve">quickly identify better </w:t>
      </w:r>
      <w:r w:rsidR="00AC65F2">
        <w:t xml:space="preserve">solutions to </w:t>
      </w:r>
      <w:r w:rsidR="00EA4FF4">
        <w:t xml:space="preserve">complex </w:t>
      </w:r>
      <w:r w:rsidR="00AC65F2">
        <w:t>problems that help optimize the grid.</w:t>
      </w:r>
    </w:p>
    <w:p w14:paraId="146C47C0" w14:textId="66B16A7D" w:rsidR="00DE13CD" w:rsidRDefault="00FC0522" w:rsidP="00FC0522">
      <w:pPr>
        <w:pStyle w:val="Heading4"/>
      </w:pPr>
      <w:r>
        <w:lastRenderedPageBreak/>
        <w:t>the Operating Horizon</w:t>
      </w:r>
    </w:p>
    <w:p w14:paraId="098CD223" w14:textId="5DBB1FE4" w:rsidR="008704CF" w:rsidRDefault="003A210E" w:rsidP="003A210E">
      <w:r>
        <w:t>In the operating horizon</w:t>
      </w:r>
      <w:r w:rsidR="00795443">
        <w:t>,</w:t>
      </w:r>
      <w:r w:rsidR="00305AB4">
        <w:t xml:space="preserve"> AI </w:t>
      </w:r>
      <w:r w:rsidR="007B259C">
        <w:t xml:space="preserve">could </w:t>
      </w:r>
      <w:r w:rsidR="003E1599">
        <w:t>give indications of</w:t>
      </w:r>
      <w:r w:rsidR="007B259C">
        <w:t xml:space="preserve"> the behavior of </w:t>
      </w:r>
      <w:r w:rsidR="0015205C">
        <w:t>assets that are not</w:t>
      </w:r>
      <w:r w:rsidR="00AE0340">
        <w:t xml:space="preserve"> directly telemetered</w:t>
      </w:r>
      <w:r w:rsidR="00966A6D">
        <w:t xml:space="preserve"> to</w:t>
      </w:r>
      <w:r w:rsidR="0015205C">
        <w:t xml:space="preserve"> the system. This can</w:t>
      </w:r>
      <w:r w:rsidR="00BD3E93">
        <w:t xml:space="preserve"> help respond to changes in</w:t>
      </w:r>
      <w:r w:rsidR="0015205C">
        <w:t xml:space="preserve"> distributed energy resources (such as rooftop solar) and distributed demand response.</w:t>
      </w:r>
      <w:r w:rsidR="00E0219B">
        <w:t xml:space="preserve"> </w:t>
      </w:r>
    </w:p>
    <w:p w14:paraId="5F8C3B18" w14:textId="1DD72F28" w:rsidR="003A210E" w:rsidRDefault="00E0219B" w:rsidP="003A210E">
      <w:r>
        <w:t xml:space="preserve">Furthermore, SPP is investigating the use of AI to </w:t>
      </w:r>
      <w:r w:rsidR="00EA4FF4">
        <w:t xml:space="preserve">more quickly and accurately </w:t>
      </w:r>
      <w:r>
        <w:t xml:space="preserve">predict </w:t>
      </w:r>
      <w:r w:rsidR="008704CF">
        <w:t xml:space="preserve">demand, variable energy resources </w:t>
      </w:r>
      <w:r w:rsidR="00234427">
        <w:t xml:space="preserve">and other aspects of the grid in both near-real-time and mid-term time horizons. </w:t>
      </w:r>
    </w:p>
    <w:p w14:paraId="61E462FB" w14:textId="4F4B5897" w:rsidR="005B4D61" w:rsidRDefault="00F435A4" w:rsidP="00F435A4">
      <w:r>
        <w:t xml:space="preserve">SPP is currently investigating the use of </w:t>
      </w:r>
      <w:r w:rsidR="00D5427B">
        <w:t xml:space="preserve">AI-based </w:t>
      </w:r>
      <w:r w:rsidR="00975537">
        <w:t xml:space="preserve">large language models to help </w:t>
      </w:r>
      <w:r w:rsidR="005B4D61">
        <w:t>in several areas</w:t>
      </w:r>
      <w:r w:rsidR="00685976">
        <w:t xml:space="preserve"> including</w:t>
      </w:r>
      <w:r w:rsidR="005B4D61">
        <w:t>:</w:t>
      </w:r>
    </w:p>
    <w:p w14:paraId="1F5FE612" w14:textId="6274C793" w:rsidR="00AC7D65" w:rsidRDefault="005B4D61" w:rsidP="005B4D61">
      <w:pPr>
        <w:pStyle w:val="ListParagraph"/>
        <w:numPr>
          <w:ilvl w:val="0"/>
          <w:numId w:val="3"/>
        </w:numPr>
      </w:pPr>
      <w:r>
        <w:t>Allowing operations support staff to quickly determine responses based on previously</w:t>
      </w:r>
      <w:r w:rsidR="00D47F03">
        <w:t xml:space="preserve"> </w:t>
      </w:r>
      <w:r>
        <w:t xml:space="preserve">compiled </w:t>
      </w:r>
      <w:r w:rsidR="00AC7D65">
        <w:t xml:space="preserve">knowledge </w:t>
      </w:r>
      <w:r w:rsidR="00195284">
        <w:t xml:space="preserve">regarding </w:t>
      </w:r>
      <w:r w:rsidR="00AC7D65">
        <w:t>how to respond to certain unusual situations</w:t>
      </w:r>
      <w:r w:rsidR="00267CD9">
        <w:t>, and</w:t>
      </w:r>
      <w:r w:rsidR="00AC7D65">
        <w:t xml:space="preserve"> </w:t>
      </w:r>
    </w:p>
    <w:p w14:paraId="39B2EBE9" w14:textId="4DA208DB" w:rsidR="00F435A4" w:rsidRPr="00F435A4" w:rsidRDefault="00AC7D65" w:rsidP="005B4D61">
      <w:pPr>
        <w:pStyle w:val="ListParagraph"/>
        <w:numPr>
          <w:ilvl w:val="0"/>
          <w:numId w:val="3"/>
        </w:numPr>
      </w:pPr>
      <w:r>
        <w:t>Quickly extracting answer</w:t>
      </w:r>
      <w:r w:rsidR="00D1459C">
        <w:t>s</w:t>
      </w:r>
      <w:r>
        <w:t xml:space="preserve"> from complex documents</w:t>
      </w:r>
      <w:r w:rsidR="004A0369">
        <w:t>, such as the tariff, market protocols and operating guides.</w:t>
      </w:r>
    </w:p>
    <w:p w14:paraId="134C06E6" w14:textId="7018818F" w:rsidR="00FC0522" w:rsidRDefault="00464011" w:rsidP="00464011">
      <w:pPr>
        <w:pStyle w:val="Heading4"/>
      </w:pPr>
      <w:r>
        <w:t>The Planning Horizon</w:t>
      </w:r>
    </w:p>
    <w:p w14:paraId="19AD130E" w14:textId="7660D068" w:rsidR="00464011" w:rsidRPr="00464011" w:rsidRDefault="00014826" w:rsidP="00464011">
      <w:r>
        <w:t>In the long</w:t>
      </w:r>
      <w:r w:rsidR="001F1AB3">
        <w:t xml:space="preserve"> ter</w:t>
      </w:r>
      <w:r w:rsidR="00EE18C6">
        <w:t>m</w:t>
      </w:r>
      <w:r w:rsidR="008D0A52">
        <w:t>,</w:t>
      </w:r>
      <w:r w:rsidR="001F1AB3">
        <w:t xml:space="preserve"> SPP</w:t>
      </w:r>
      <w:r w:rsidR="00754C6D">
        <w:t xml:space="preserve"> </w:t>
      </w:r>
      <w:r w:rsidR="001A5D57">
        <w:t xml:space="preserve">is investigating the involvement of </w:t>
      </w:r>
      <w:r w:rsidR="00464011" w:rsidRPr="00464011">
        <w:t xml:space="preserve">AI </w:t>
      </w:r>
      <w:r w:rsidR="001A5D57">
        <w:t>in</w:t>
      </w:r>
      <w:r w:rsidR="00464011" w:rsidRPr="00464011">
        <w:t xml:space="preserve"> transmission planning and resource adequacy process</w:t>
      </w:r>
      <w:r w:rsidR="001A5D57">
        <w:t>es</w:t>
      </w:r>
      <w:r w:rsidR="00464011" w:rsidRPr="00464011">
        <w:t xml:space="preserve">. </w:t>
      </w:r>
      <w:r w:rsidR="00171416">
        <w:t>One possibility is using</w:t>
      </w:r>
      <w:r w:rsidR="00464011" w:rsidRPr="00464011">
        <w:t xml:space="preserve"> AI </w:t>
      </w:r>
      <w:r w:rsidR="00171416">
        <w:t>to</w:t>
      </w:r>
      <w:r w:rsidR="00464011" w:rsidRPr="00464011">
        <w:t xml:space="preserve"> learn the attributes of the transmission </w:t>
      </w:r>
      <w:r w:rsidR="00B20591">
        <w:t>system</w:t>
      </w:r>
      <w:r w:rsidR="00464011" w:rsidRPr="00464011">
        <w:t xml:space="preserve"> and predict </w:t>
      </w:r>
      <w:r w:rsidR="0008698B">
        <w:t>its</w:t>
      </w:r>
      <w:r w:rsidR="0008698B" w:rsidRPr="00464011">
        <w:t xml:space="preserve"> </w:t>
      </w:r>
      <w:r w:rsidR="00464011" w:rsidRPr="00464011">
        <w:t>response under unknown conditions</w:t>
      </w:r>
      <w:r w:rsidR="00F757B7">
        <w:t>, which is also known as creating a “digital twin.”</w:t>
      </w:r>
      <w:r w:rsidR="00464011" w:rsidRPr="00464011">
        <w:t xml:space="preserve"> </w:t>
      </w:r>
    </w:p>
    <w:p w14:paraId="40AC765A" w14:textId="550C1002" w:rsidR="00464011" w:rsidRPr="00464011" w:rsidRDefault="00464011" w:rsidP="00464011">
      <w:r w:rsidRPr="00464011">
        <w:t xml:space="preserve">With traditional engineering tools and methods, examining </w:t>
      </w:r>
      <w:r w:rsidR="007126CC">
        <w:t>an extensive collection of</w:t>
      </w:r>
      <w:r w:rsidRPr="00464011">
        <w:t xml:space="preserve"> operational conditions is prohibitively expensive and cannot be accomplished in the current study cycles. </w:t>
      </w:r>
      <w:r w:rsidR="00504E98">
        <w:t>AI can assist with the analysis of many more</w:t>
      </w:r>
      <w:r w:rsidR="00AE4095">
        <w:t xml:space="preserve"> sets of</w:t>
      </w:r>
      <w:r w:rsidRPr="00464011">
        <w:t xml:space="preserve"> operational conditions, </w:t>
      </w:r>
      <w:r w:rsidR="00AE4095">
        <w:t>potentially leading to a faster determination of the most effective system upgrades.</w:t>
      </w:r>
    </w:p>
    <w:p w14:paraId="33453BCE" w14:textId="1C916406" w:rsidR="00464011" w:rsidRPr="00464011" w:rsidRDefault="00464011" w:rsidP="00464011">
      <w:r w:rsidRPr="00464011">
        <w:t xml:space="preserve">AI enabled tools and models hold the promise of transforming the analyses and studies in electric power engineering and ultimately the efficiency and effectiveness of the planning solutions. As </w:t>
      </w:r>
      <w:r w:rsidR="00EA4FF4">
        <w:t>demonstrated</w:t>
      </w:r>
      <w:r w:rsidRPr="00464011">
        <w:t xml:space="preserve"> in other industries, </w:t>
      </w:r>
      <w:r w:rsidR="00EA4FF4">
        <w:t xml:space="preserve">when trained with sufficient information and examples even when the relationships may not be explicitly understood or identified, </w:t>
      </w:r>
      <w:r w:rsidRPr="00464011">
        <w:t>AI</w:t>
      </w:r>
      <w:r w:rsidR="00841902">
        <w:t>-</w:t>
      </w:r>
      <w:r w:rsidRPr="00464011">
        <w:t xml:space="preserve">enabled analysis </w:t>
      </w:r>
      <w:r w:rsidR="00EA4FF4">
        <w:t xml:space="preserve">may find relationships and </w:t>
      </w:r>
      <w:r w:rsidR="00CE7D8B">
        <w:t>solutions</w:t>
      </w:r>
      <w:r w:rsidR="00EA4FF4">
        <w:t xml:space="preserve"> that are</w:t>
      </w:r>
      <w:r w:rsidR="00EA4FF4" w:rsidRPr="00464011">
        <w:t xml:space="preserve"> </w:t>
      </w:r>
      <w:r w:rsidRPr="00464011">
        <w:t xml:space="preserve">not constrained by the limits of established engineering knowledge or modeling </w:t>
      </w:r>
      <w:r w:rsidR="00CE7D8B">
        <w:t>capabilities</w:t>
      </w:r>
      <w:r w:rsidRPr="00464011">
        <w:t>.</w:t>
      </w:r>
      <w:r w:rsidR="00AE4095">
        <w:t xml:space="preserve"> </w:t>
      </w:r>
      <w:r w:rsidR="00F20F53">
        <w:t>AI</w:t>
      </w:r>
      <w:r w:rsidR="00CE7D8B">
        <w:t xml:space="preserve"> approaches</w:t>
      </w:r>
      <w:r w:rsidR="00F20F53">
        <w:t xml:space="preserve"> can</w:t>
      </w:r>
      <w:r w:rsidR="00980568">
        <w:t xml:space="preserve"> help to</w:t>
      </w:r>
      <w:r w:rsidR="00F20F53">
        <w:t xml:space="preserve"> gain insights into </w:t>
      </w:r>
      <w:r w:rsidR="00CE7D8B">
        <w:t>complex</w:t>
      </w:r>
      <w:r w:rsidR="00A22EDC">
        <w:t xml:space="preserve"> issues and related solutions</w:t>
      </w:r>
      <w:r w:rsidR="00F20F53">
        <w:t xml:space="preserve"> that might not otherwise be easily identifiable. </w:t>
      </w:r>
    </w:p>
    <w:p w14:paraId="1F4548C9" w14:textId="0294CEDA" w:rsidR="002E253C" w:rsidRDefault="002E2FEF" w:rsidP="006102D6">
      <w:pPr>
        <w:pStyle w:val="Heading4"/>
      </w:pPr>
      <w:r>
        <w:t>Recommendations</w:t>
      </w:r>
    </w:p>
    <w:p w14:paraId="37EED864" w14:textId="497B425B" w:rsidR="00FC7771" w:rsidRDefault="00905B57" w:rsidP="002E2FEF">
      <w:pPr>
        <w:pStyle w:val="ListParagraph"/>
        <w:numPr>
          <w:ilvl w:val="0"/>
          <w:numId w:val="3"/>
        </w:numPr>
      </w:pPr>
      <w:r w:rsidRPr="005608ED">
        <w:rPr>
          <w:b/>
          <w:bCs/>
        </w:rPr>
        <w:t>Recommendation AD24-</w:t>
      </w:r>
      <w:r w:rsidR="00873251">
        <w:rPr>
          <w:b/>
          <w:bCs/>
        </w:rPr>
        <w:t>6</w:t>
      </w:r>
      <w:r w:rsidR="00A44E5A">
        <w:rPr>
          <w:b/>
          <w:bCs/>
        </w:rPr>
        <w:t xml:space="preserve"> (Accepted)</w:t>
      </w:r>
      <w:r>
        <w:t xml:space="preserve">: </w:t>
      </w:r>
      <w:r w:rsidR="003548C4">
        <w:t>SPP should</w:t>
      </w:r>
      <w:r w:rsidR="00EF0B57">
        <w:t xml:space="preserve"> </w:t>
      </w:r>
      <w:r w:rsidR="008E7F2D">
        <w:t>explore opportunities for</w:t>
      </w:r>
      <w:r w:rsidR="00DF6552">
        <w:t xml:space="preserve"> </w:t>
      </w:r>
      <w:r w:rsidR="006C7D96">
        <w:t xml:space="preserve">AI </w:t>
      </w:r>
      <w:r w:rsidR="00DF6552">
        <w:t xml:space="preserve">through </w:t>
      </w:r>
      <w:r w:rsidR="00EF0B57">
        <w:t xml:space="preserve">workshops and discussion </w:t>
      </w:r>
      <w:r w:rsidR="00AB1DDB">
        <w:t>forums and</w:t>
      </w:r>
      <w:r w:rsidR="00EF0B57">
        <w:t xml:space="preserve"> make proposals to the </w:t>
      </w:r>
      <w:r w:rsidR="003548C4">
        <w:t xml:space="preserve">FGSAG and </w:t>
      </w:r>
      <w:r w:rsidR="00EF0B57">
        <w:t xml:space="preserve">Strategic Planning Committee </w:t>
      </w:r>
      <w:r w:rsidR="00A84693">
        <w:t xml:space="preserve">regarding </w:t>
      </w:r>
      <w:r w:rsidR="00EF0B57">
        <w:t>the strategic opportunities and challenges that AI poses.</w:t>
      </w:r>
    </w:p>
    <w:p w14:paraId="106F476C" w14:textId="52ACA64C" w:rsidR="002F37C8" w:rsidRPr="002F37C8" w:rsidRDefault="0085651B" w:rsidP="00A16702">
      <w:pPr>
        <w:pStyle w:val="Heading3"/>
      </w:pPr>
      <w:bookmarkStart w:id="9" w:name="_Toc178834445"/>
      <w:r>
        <w:lastRenderedPageBreak/>
        <w:t>Grid Enhancing Technologies</w:t>
      </w:r>
      <w:r w:rsidR="00A16702">
        <w:t>: SPP “GETs” it</w:t>
      </w:r>
      <w:bookmarkEnd w:id="9"/>
    </w:p>
    <w:p w14:paraId="1813B282" w14:textId="0A0C754A" w:rsidR="002F37C8" w:rsidRPr="002F37C8" w:rsidRDefault="002F37C8" w:rsidP="002F37C8">
      <w:r w:rsidRPr="002F37C8">
        <w:t>A modern grid requires modern infrastructure, such as digital technology devices and new electricity pathways. Grid Enhancing Technologies (GETs) maximize electricity transmission efficiency through a family of different technologies that include sensors, power flow control devices, and analytical tools. GETs can be applied to today’s system to save ratepayers money as the grid transitions.</w:t>
      </w:r>
    </w:p>
    <w:p w14:paraId="46B3E883" w14:textId="77777777" w:rsidR="002F37C8" w:rsidRPr="002F37C8" w:rsidRDefault="002F37C8" w:rsidP="000A7716">
      <w:pPr>
        <w:pStyle w:val="Heading4"/>
      </w:pPr>
      <w:r w:rsidRPr="002F37C8">
        <w:t>What are GETs?</w:t>
      </w:r>
    </w:p>
    <w:p w14:paraId="7EEBC7C5" w14:textId="37830C93" w:rsidR="002F37C8" w:rsidRPr="002F37C8" w:rsidRDefault="002F37C8" w:rsidP="002F37C8">
      <w:r w:rsidRPr="002F37C8">
        <w:t>GETs maximize electricity delivery through a host of different cost-effective technologies. GETs are also known as Non-Transmission Expansion Alternatives (NTAs) or Non-Transmission Expansion Solutions that generally encompass new technology used to enhance the existing grid infrastructure.</w:t>
      </w:r>
      <w:r w:rsidRPr="002F37C8">
        <w:rPr>
          <w:vertAlign w:val="superscript"/>
        </w:rPr>
        <w:footnoteReference w:id="2"/>
      </w:r>
      <w:r w:rsidRPr="002F37C8">
        <w:t xml:space="preserve"> GETs can in</w:t>
      </w:r>
      <w:r w:rsidR="00A961A7">
        <w:t>clude a vast a</w:t>
      </w:r>
      <w:r w:rsidR="00BA379B">
        <w:t>rray of equipment and processes, including static VAR compensators</w:t>
      </w:r>
      <w:r w:rsidR="00A86FFD">
        <w:t xml:space="preserve"> (SVCs)</w:t>
      </w:r>
      <w:r w:rsidR="00BA379B">
        <w:t xml:space="preserve">, </w:t>
      </w:r>
      <w:r w:rsidR="001E02F5">
        <w:t xml:space="preserve">phase-shifting transformers (PSTs) </w:t>
      </w:r>
      <w:r w:rsidR="00034193">
        <w:t xml:space="preserve">capacitors, synchronous </w:t>
      </w:r>
      <w:r w:rsidR="001E02F5">
        <w:t>condensers (SCs)</w:t>
      </w:r>
      <w:r w:rsidR="00034193">
        <w:t>, dynamic line ratings, topology optimization, advanced conductors</w:t>
      </w:r>
      <w:r w:rsidR="00D1624B">
        <w:t>, demand response, distributed generation and many others.</w:t>
      </w:r>
    </w:p>
    <w:p w14:paraId="6443FA19" w14:textId="13A8B25E" w:rsidR="002F37C8" w:rsidRPr="002F37C8" w:rsidRDefault="002F37C8" w:rsidP="002F37C8">
      <w:r w:rsidRPr="002F37C8">
        <w:t xml:space="preserve">Many GETs devices have been utilized for decades. The SPP system currently has </w:t>
      </w:r>
      <w:r w:rsidR="00753661">
        <w:t xml:space="preserve">static VAR compensators </w:t>
      </w:r>
      <w:r w:rsidRPr="002F37C8">
        <w:t xml:space="preserve">installed to control system voltage and allow more reliable power transfers, </w:t>
      </w:r>
      <w:r w:rsidR="00753661">
        <w:t xml:space="preserve">phase-shifting transformers </w:t>
      </w:r>
      <w:r w:rsidRPr="002F37C8">
        <w:t xml:space="preserve">installed to control and re-route system real power flows and </w:t>
      </w:r>
      <w:r w:rsidR="00753661">
        <w:t xml:space="preserve">synchronous condensers </w:t>
      </w:r>
      <w:r w:rsidRPr="002F37C8">
        <w:t>to support system voltage. SPP has also implemented limited use of topology optimization and dynamic line rating equipment in select areas of the system.</w:t>
      </w:r>
    </w:p>
    <w:p w14:paraId="1EDE8ED0" w14:textId="77777777" w:rsidR="002F37C8" w:rsidRPr="002F37C8" w:rsidRDefault="002F37C8" w:rsidP="000A7716">
      <w:pPr>
        <w:pStyle w:val="Heading4"/>
      </w:pPr>
      <w:r w:rsidRPr="002F37C8">
        <w:t>Opportunities for the Future Grid</w:t>
      </w:r>
    </w:p>
    <w:p w14:paraId="072BF346" w14:textId="0B9C3984" w:rsidR="00E14295" w:rsidRPr="002F37C8" w:rsidRDefault="002F37C8" w:rsidP="00F744FC">
      <w:r w:rsidRPr="002F37C8">
        <w:t xml:space="preserve">GETs devices are a cost-effective way to maximize use of the transmission system. Many operational opportunities exist that can bring economic and reliability value by addressing system bottlenecks and providing operational flexibility. </w:t>
      </w:r>
      <w:r w:rsidR="00E14295" w:rsidRPr="00372AEC">
        <w:t>While their value is recognized and is often very useful for enhancing the capabilities of existing transmission or deferring immediate upgrades for transmission bottlenecks, SPP believes that GETs should not be used in the planning horizon as a way to suppress the planning</w:t>
      </w:r>
      <w:r w:rsidR="00121EF9" w:rsidRPr="00372AEC">
        <w:t xml:space="preserve"> and building</w:t>
      </w:r>
      <w:r w:rsidR="00E14295" w:rsidRPr="00372AEC">
        <w:t xml:space="preserve"> of new transmission capacity.</w:t>
      </w:r>
    </w:p>
    <w:p w14:paraId="7F3ADDCB" w14:textId="77777777" w:rsidR="002F37C8" w:rsidRPr="002F37C8" w:rsidRDefault="002F37C8" w:rsidP="00372AEC">
      <w:pPr>
        <w:pStyle w:val="Heading4"/>
      </w:pPr>
      <w:r w:rsidRPr="002F37C8">
        <w:t>Operating Horizon</w:t>
      </w:r>
    </w:p>
    <w:p w14:paraId="105BC356" w14:textId="046A9476" w:rsidR="002F37C8" w:rsidRPr="002F37C8" w:rsidRDefault="002F37C8" w:rsidP="002F37C8">
      <w:r w:rsidRPr="002F37C8">
        <w:t>More widespread implementation of GETs, such as advanced power</w:t>
      </w:r>
      <w:r w:rsidR="008707E5">
        <w:t xml:space="preserve"> </w:t>
      </w:r>
      <w:r w:rsidRPr="002F37C8">
        <w:t xml:space="preserve">flow controllers, dynamic line ratings and topology optimization, would bring needed value to the system today. Many areas of the system experience congestion that could be managed more efficiently with more dynamic rating of transmission lines beyond the fixed seasonal ratings used historically and expansion of current topology optimization efforts. FERC Order 881 required the </w:t>
      </w:r>
      <w:r w:rsidRPr="002F37C8">
        <w:lastRenderedPageBreak/>
        <w:t>implementation of operational systems to accept Ambient Adjusted Ratings (AAR) that can also provide more efficient system use, but more can be done.</w:t>
      </w:r>
    </w:p>
    <w:p w14:paraId="2B618732" w14:textId="4E47B736" w:rsidR="002F37C8" w:rsidRPr="002F37C8" w:rsidRDefault="000C5937" w:rsidP="002F37C8">
      <w:r>
        <w:t>Current</w:t>
      </w:r>
      <w:r w:rsidR="002F37C8" w:rsidRPr="002F37C8">
        <w:t xml:space="preserve"> operational issues will be addressed </w:t>
      </w:r>
      <w:r>
        <w:t xml:space="preserve">in part </w:t>
      </w:r>
      <w:r w:rsidR="002F37C8" w:rsidRPr="002F37C8">
        <w:t>by future transmission expansion identified in the ITP assessments, some of which is already underway</w:t>
      </w:r>
      <w:r w:rsidR="00477B62">
        <w:t>;</w:t>
      </w:r>
      <w:r w:rsidR="002F37C8" w:rsidRPr="002F37C8">
        <w:t xml:space="preserve"> but with the challenge of recent supply-chain barriers, implementing interim GETs solutions can provide a cost-effective solution until such time as new transmission capacity can be built. SPP is ready to embrace newer technologies like </w:t>
      </w:r>
      <w:r w:rsidR="00C440A9">
        <w:t>dynamic line ratings</w:t>
      </w:r>
      <w:r w:rsidR="00C440A9" w:rsidRPr="002F37C8">
        <w:t xml:space="preserve"> </w:t>
      </w:r>
      <w:r w:rsidR="002F37C8" w:rsidRPr="002F37C8">
        <w:t xml:space="preserve">and enhance current GETs like topology optimization </w:t>
      </w:r>
      <w:r w:rsidR="0061707E">
        <w:t>for</w:t>
      </w:r>
      <w:r w:rsidR="0061707E" w:rsidRPr="002F37C8">
        <w:t xml:space="preserve"> </w:t>
      </w:r>
      <w:r w:rsidR="002F37C8" w:rsidRPr="002F37C8">
        <w:t xml:space="preserve">all real-time business functions in </w:t>
      </w:r>
      <w:r w:rsidR="006E71A1">
        <w:t xml:space="preserve">SPP </w:t>
      </w:r>
      <w:r w:rsidR="002F37C8" w:rsidRPr="002F37C8">
        <w:t>Operations and Markets</w:t>
      </w:r>
      <w:r w:rsidR="005C16EB">
        <w:t>.</w:t>
      </w:r>
    </w:p>
    <w:p w14:paraId="578C518B" w14:textId="77777777" w:rsidR="002F37C8" w:rsidRPr="002F37C8" w:rsidRDefault="002F37C8" w:rsidP="0012205E">
      <w:pPr>
        <w:pStyle w:val="Heading5"/>
      </w:pPr>
      <w:r w:rsidRPr="002F37C8">
        <w:t>Planning Horizon</w:t>
      </w:r>
    </w:p>
    <w:p w14:paraId="3D212D2B" w14:textId="1ACE2EDD" w:rsidR="002F37C8" w:rsidRPr="002F37C8" w:rsidRDefault="002F37C8" w:rsidP="002F37C8">
      <w:r w:rsidRPr="002F37C8">
        <w:t xml:space="preserve">As mentioned above, SPP does not believe all GETs should be considered </w:t>
      </w:r>
      <w:r w:rsidR="00F21443">
        <w:t>the</w:t>
      </w:r>
      <w:r w:rsidRPr="002F37C8">
        <w:t xml:space="preserve"> replacement for long-term transmission capacity needs. In certain cases, they could be considered a preferred solution, but selecting devices that maximize the use of the existing transmission system can decrease operating margins, making it more challenging to reliably operate the transmission system</w:t>
      </w:r>
      <w:r w:rsidR="00C440A9">
        <w:t>, and can mask transmission line upgrades and additions that may be the best long-term solution</w:t>
      </w:r>
      <w:r w:rsidRPr="002F37C8">
        <w:t>.</w:t>
      </w:r>
    </w:p>
    <w:p w14:paraId="3CCEA523" w14:textId="1A137EDC" w:rsidR="002F37C8" w:rsidRPr="002F37C8" w:rsidRDefault="002F37C8" w:rsidP="002F37C8">
      <w:r w:rsidRPr="002F37C8">
        <w:t xml:space="preserve">New transmission is taking longer and longer to build today, which is compounded by the need for more higher voltage transmission expansion </w:t>
      </w:r>
      <w:r w:rsidR="00C93524">
        <w:t>within</w:t>
      </w:r>
      <w:r w:rsidR="00C93524" w:rsidRPr="002F37C8">
        <w:t xml:space="preserve"> </w:t>
      </w:r>
      <w:r w:rsidRPr="002F37C8">
        <w:t>the SPP</w:t>
      </w:r>
      <w:r w:rsidR="00C93524">
        <w:t xml:space="preserve"> f</w:t>
      </w:r>
      <w:r w:rsidR="00D21B22">
        <w:t>ootprint</w:t>
      </w:r>
      <w:r w:rsidRPr="002F37C8">
        <w:t xml:space="preserve"> as the grid continues to transform. GETs could have a valuable place in long-term planning as an interim solution. Pairing GETs solutions with new transmission capacity could help address current operational issues much faster while new infrastructure is being constructed. The most valuable GETs not already included in the planning process are technologies like dynamic line ratings and advanced power</w:t>
      </w:r>
      <w:r w:rsidR="008707E5">
        <w:t xml:space="preserve"> </w:t>
      </w:r>
      <w:r w:rsidRPr="002F37C8">
        <w:t>flow controllers.</w:t>
      </w:r>
    </w:p>
    <w:p w14:paraId="5EA1F360" w14:textId="77777777" w:rsidR="002F37C8" w:rsidRPr="002F37C8" w:rsidRDefault="002F37C8" w:rsidP="0012205E">
      <w:pPr>
        <w:pStyle w:val="Heading5"/>
      </w:pPr>
      <w:r w:rsidRPr="002F37C8">
        <w:t>Potential Challenges</w:t>
      </w:r>
    </w:p>
    <w:p w14:paraId="0602848B" w14:textId="495D9889" w:rsidR="002F37C8" w:rsidRPr="002F37C8" w:rsidRDefault="002F37C8" w:rsidP="002F37C8">
      <w:r w:rsidRPr="002F37C8">
        <w:t>Consideration of GETs in business functions can present different types of challenges. In the development of new processes to incorporate GETs, regulatory direction must be incorporated. FERC Orders 2023 and 1920 require consideration of alternative solutions in generator interconnection and long-term planning processes.</w:t>
      </w:r>
    </w:p>
    <w:p w14:paraId="29A373BB" w14:textId="36E133B3" w:rsidR="002F37C8" w:rsidRPr="002F37C8" w:rsidRDefault="002F37C8" w:rsidP="002F37C8">
      <w:r w:rsidRPr="002F37C8">
        <w:t>Technical challenges arise with certain types of GETs that require more detailed and time-consuming analysis. For series compensation GETs, there can be sub-</w:t>
      </w:r>
      <w:r w:rsidR="008405A4" w:rsidRPr="002F37C8">
        <w:t>synchronous</w:t>
      </w:r>
      <w:r w:rsidRPr="002F37C8">
        <w:t xml:space="preserve"> resonance (SSR)</w:t>
      </w:r>
      <w:r w:rsidRPr="002F37C8">
        <w:rPr>
          <w:vertAlign w:val="superscript"/>
        </w:rPr>
        <w:footnoteReference w:id="3"/>
      </w:r>
      <w:r w:rsidRPr="002F37C8">
        <w:t xml:space="preserve"> interactions with specific types of generation resources and load based on placement.</w:t>
      </w:r>
    </w:p>
    <w:p w14:paraId="7E9B9F5A" w14:textId="4890830D" w:rsidR="002F37C8" w:rsidRPr="002F37C8" w:rsidRDefault="002F37C8" w:rsidP="002F37C8">
      <w:r w:rsidRPr="002F37C8">
        <w:t xml:space="preserve">Process challenges can arise as well. While SPP has stated that GETs should not be a replacement for </w:t>
      </w:r>
      <w:r w:rsidR="007446BD">
        <w:t xml:space="preserve">future </w:t>
      </w:r>
      <w:r w:rsidRPr="002F37C8">
        <w:t xml:space="preserve">new transmission capacity, new methods to justify competing solutions and </w:t>
      </w:r>
      <w:r w:rsidR="00DA6CCA">
        <w:t xml:space="preserve">determine </w:t>
      </w:r>
      <w:r w:rsidRPr="002F37C8">
        <w:t>whether short-term GETs implementation provides value would need to be developed.</w:t>
      </w:r>
    </w:p>
    <w:p w14:paraId="5AFFB9A8" w14:textId="611BC5A3" w:rsidR="002F37C8" w:rsidRPr="002F37C8" w:rsidRDefault="002F37C8" w:rsidP="00106DAB">
      <w:r w:rsidRPr="002F37C8">
        <w:lastRenderedPageBreak/>
        <w:t xml:space="preserve">The industry itself also faces challenges with GETs. More research and development are needed to identify best practices and methodologies for usage, improve data requirements for improved functionality and advance the technologies to achieve efficiency and cost effectiveness. </w:t>
      </w:r>
    </w:p>
    <w:p w14:paraId="1F82592B" w14:textId="77777777" w:rsidR="002F37C8" w:rsidRPr="002F37C8" w:rsidRDefault="002F37C8" w:rsidP="0012205E">
      <w:pPr>
        <w:pStyle w:val="Heading5"/>
      </w:pPr>
      <w:r w:rsidRPr="002F37C8">
        <w:t>Previous and Ongoing Efforts</w:t>
      </w:r>
    </w:p>
    <w:p w14:paraId="66A3991D" w14:textId="5FD0665D" w:rsidR="002F37C8" w:rsidRPr="002F37C8" w:rsidRDefault="002F37C8" w:rsidP="002F37C8">
      <w:r w:rsidRPr="002F37C8">
        <w:t xml:space="preserve">As part of SPP’s compliance with </w:t>
      </w:r>
      <w:r w:rsidR="00BB7F51">
        <w:t>Order 841</w:t>
      </w:r>
      <w:r w:rsidR="00121EF9">
        <w:t>,</w:t>
      </w:r>
      <w:r w:rsidR="00BB7F51">
        <w:t xml:space="preserve"> </w:t>
      </w:r>
      <w:r w:rsidRPr="002F37C8">
        <w:t xml:space="preserve">SPP </w:t>
      </w:r>
      <w:r w:rsidR="003261C2">
        <w:t>increased integration</w:t>
      </w:r>
      <w:r w:rsidRPr="002F37C8">
        <w:t xml:space="preserve"> of energy storage into different business functions. Storage As a Transmission Only Asset (SATOA) was integrated into planning processes as a viable solution to identified transmission system constraints. While not specifically considered</w:t>
      </w:r>
      <w:r w:rsidR="005A1042">
        <w:t xml:space="preserve"> a</w:t>
      </w:r>
      <w:r w:rsidRPr="002F37C8">
        <w:t xml:space="preserve"> GETs</w:t>
      </w:r>
      <w:r w:rsidR="006F0801">
        <w:t xml:space="preserve"> </w:t>
      </w:r>
      <w:r w:rsidR="00197657">
        <w:t>device</w:t>
      </w:r>
      <w:r w:rsidRPr="002F37C8">
        <w:t>, SATOA can function as a valuable non-transmission alternative.</w:t>
      </w:r>
    </w:p>
    <w:p w14:paraId="2D35ED37" w14:textId="782C4B58" w:rsidR="002F37C8" w:rsidRPr="002F37C8" w:rsidRDefault="002F37C8" w:rsidP="002F37C8">
      <w:r w:rsidRPr="002F37C8">
        <w:t>SPP performed joint case studies</w:t>
      </w:r>
      <w:r w:rsidRPr="002F37C8">
        <w:rPr>
          <w:vertAlign w:val="superscript"/>
        </w:rPr>
        <w:footnoteReference w:id="4"/>
      </w:r>
      <w:r w:rsidRPr="002F37C8">
        <w:t xml:space="preserve"> with ERCOT, NewGrid and The Brattle Group in 2020 to analyze transmission topology optimization and its ability to improve market efficiency, reliability and resilience. </w:t>
      </w:r>
    </w:p>
    <w:p w14:paraId="11A756E0" w14:textId="51CDC12B" w:rsidR="002F37C8" w:rsidRPr="002F37C8" w:rsidRDefault="002F37C8" w:rsidP="00106DAB">
      <w:r w:rsidRPr="002F37C8">
        <w:t xml:space="preserve">SPP </w:t>
      </w:r>
      <w:r w:rsidR="00397B23">
        <w:t>went to great effort</w:t>
      </w:r>
      <w:r w:rsidRPr="002F37C8">
        <w:t xml:space="preserve"> to consider GETs in the regional planning process. The Strategic and Creative Re-Imagining of Integrated Planning Team (SCRIPT), an SPP Board task force, recommended SPP staff and stakeholders to define acceptable use of Non-Transmission Solutions (NTS) in the Integrated Transmission Planning (ITP) assessment. The stakeholder groups determined that certain types of GETs could be used to address transmission system issue</w:t>
      </w:r>
      <w:r w:rsidR="00A8725B">
        <w:t>s</w:t>
      </w:r>
      <w:r w:rsidRPr="002F37C8">
        <w:t xml:space="preserve"> identified in long-term planning by defining their use in the ITP manual.</w:t>
      </w:r>
    </w:p>
    <w:p w14:paraId="6A2DEDC5" w14:textId="097B66A0" w:rsidR="0087627C" w:rsidRPr="00DD456E" w:rsidRDefault="002F37C8" w:rsidP="00DD456E">
      <w:r w:rsidRPr="002F37C8">
        <w:t xml:space="preserve">In 2024, key members of SPP’s Planning Policy and Research Team and </w:t>
      </w:r>
      <w:r w:rsidR="006E0865">
        <w:t xml:space="preserve">SPP’s </w:t>
      </w:r>
      <w:r w:rsidRPr="002F37C8">
        <w:t>Principal of Grid Strategy published an IEEE paper titled “Non-Transmission Expansion Alternatives for Southwest Power Pool”</w:t>
      </w:r>
      <w:r w:rsidRPr="002F37C8">
        <w:rPr>
          <w:vertAlign w:val="superscript"/>
        </w:rPr>
        <w:footnoteReference w:id="5"/>
      </w:r>
      <w:r w:rsidRPr="002F37C8">
        <w:t>, exploring the role of non-transmission alternatives (NTA) in addressing electricity grid constraints and transmission expansion planning in the future</w:t>
      </w:r>
      <w:r w:rsidR="00A90EAB">
        <w:t>.</w:t>
      </w:r>
    </w:p>
    <w:p w14:paraId="3FBC5CB3" w14:textId="068AD370" w:rsidR="00A1224D" w:rsidRDefault="00A1224D" w:rsidP="00A1224D">
      <w:pPr>
        <w:pStyle w:val="Heading4"/>
      </w:pPr>
      <w:r>
        <w:t>Recommendations</w:t>
      </w:r>
    </w:p>
    <w:p w14:paraId="3F3F1604" w14:textId="475FB36B" w:rsidR="00D70122" w:rsidRPr="00A1224D" w:rsidRDefault="00D70122" w:rsidP="00A1224D">
      <w:pPr>
        <w:pStyle w:val="ListParagraph"/>
        <w:numPr>
          <w:ilvl w:val="0"/>
          <w:numId w:val="3"/>
        </w:numPr>
      </w:pPr>
      <w:r w:rsidRPr="005608ED">
        <w:rPr>
          <w:b/>
          <w:bCs/>
        </w:rPr>
        <w:t>Recommendation AD24-</w:t>
      </w:r>
      <w:r w:rsidR="00CA0C1C">
        <w:rPr>
          <w:b/>
          <w:bCs/>
        </w:rPr>
        <w:t xml:space="preserve">7 (Medium): </w:t>
      </w:r>
      <w:r w:rsidR="006A2AEF">
        <w:t xml:space="preserve">SPP will </w:t>
      </w:r>
      <w:r w:rsidR="009D4EBB">
        <w:t xml:space="preserve">educate stakeholders and </w:t>
      </w:r>
      <w:r w:rsidR="006A2AEF">
        <w:t xml:space="preserve">further develop opportunities for GETs, outlining specific technologies and their role in determining </w:t>
      </w:r>
      <w:r w:rsidR="002F4B3A">
        <w:t xml:space="preserve">short-term and long-term </w:t>
      </w:r>
      <w:r w:rsidR="00C61019">
        <w:t xml:space="preserve">transmission and operational </w:t>
      </w:r>
      <w:r w:rsidR="002F4B3A">
        <w:t xml:space="preserve">solutions for </w:t>
      </w:r>
      <w:r w:rsidR="00C61019">
        <w:t>the technologies identified</w:t>
      </w:r>
      <w:r w:rsidR="002F4B3A">
        <w:t xml:space="preserve">. </w:t>
      </w:r>
    </w:p>
    <w:p w14:paraId="3CF734A7" w14:textId="2D3853D5" w:rsidR="00C965DE" w:rsidRPr="00A1224D" w:rsidRDefault="00C965DE" w:rsidP="00A1224D">
      <w:pPr>
        <w:pStyle w:val="ListParagraph"/>
        <w:numPr>
          <w:ilvl w:val="0"/>
          <w:numId w:val="3"/>
        </w:numPr>
      </w:pPr>
      <w:r>
        <w:rPr>
          <w:b/>
          <w:bCs/>
        </w:rPr>
        <w:t>Recommendation AD24</w:t>
      </w:r>
      <w:r w:rsidRPr="003452AC">
        <w:rPr>
          <w:b/>
          <w:bCs/>
        </w:rPr>
        <w:t>-</w:t>
      </w:r>
      <w:r w:rsidR="00D6245D">
        <w:rPr>
          <w:b/>
          <w:bCs/>
        </w:rPr>
        <w:t>8</w:t>
      </w:r>
      <w:r w:rsidR="00CA0C1C">
        <w:rPr>
          <w:b/>
          <w:bCs/>
        </w:rPr>
        <w:t xml:space="preserve"> (</w:t>
      </w:r>
      <w:r w:rsidR="00A44E5A">
        <w:rPr>
          <w:b/>
          <w:bCs/>
        </w:rPr>
        <w:t>High):</w:t>
      </w:r>
      <w:r>
        <w:t xml:space="preserve"> </w:t>
      </w:r>
      <w:r w:rsidR="00AC6459">
        <w:t>Consider</w:t>
      </w:r>
      <w:r w:rsidR="00443892">
        <w:t xml:space="preserve"> GETs </w:t>
      </w:r>
      <w:r w:rsidR="00443892" w:rsidRPr="00370356">
        <w:rPr>
          <w:rFonts w:ascii="Aptos" w:eastAsia="Times New Roman" w:hAnsi="Aptos" w:cs="Calibri"/>
        </w:rPr>
        <w:t>to address NTC delay</w:t>
      </w:r>
      <w:r w:rsidR="00935619">
        <w:rPr>
          <w:rFonts w:ascii="Aptos" w:eastAsia="Times New Roman" w:hAnsi="Aptos" w:cs="Calibri"/>
        </w:rPr>
        <w:t>s</w:t>
      </w:r>
      <w:r w:rsidR="00443892" w:rsidRPr="00370356">
        <w:rPr>
          <w:rFonts w:ascii="Aptos" w:eastAsia="Times New Roman" w:hAnsi="Aptos" w:cs="Calibri"/>
        </w:rPr>
        <w:t xml:space="preserve"> and/or to address ITP reliability and/or congestion needs sooner</w:t>
      </w:r>
      <w:r w:rsidR="001E54E2">
        <w:rPr>
          <w:rFonts w:ascii="Aptos" w:eastAsia="Times New Roman" w:hAnsi="Aptos" w:cs="Calibri"/>
        </w:rPr>
        <w:t>.</w:t>
      </w:r>
    </w:p>
    <w:p w14:paraId="274118A8" w14:textId="5AFC28FC" w:rsidR="0019025B" w:rsidRDefault="0019025B" w:rsidP="0019025B">
      <w:pPr>
        <w:pStyle w:val="Heading2"/>
      </w:pPr>
      <w:bookmarkStart w:id="10" w:name="_Toc178834446"/>
      <w:r>
        <w:lastRenderedPageBreak/>
        <w:t>Appendi</w:t>
      </w:r>
      <w:r w:rsidR="00DF04FD">
        <w:t>c</w:t>
      </w:r>
      <w:r w:rsidR="005A01C0">
        <w:t>es</w:t>
      </w:r>
      <w:bookmarkEnd w:id="10"/>
    </w:p>
    <w:p w14:paraId="037219D3" w14:textId="1D1C393B" w:rsidR="002D0638" w:rsidRDefault="001E624E" w:rsidP="002D0638">
      <w:pPr>
        <w:pStyle w:val="Heading3"/>
        <w:numPr>
          <w:ilvl w:val="0"/>
          <w:numId w:val="29"/>
        </w:numPr>
      </w:pPr>
      <w:bookmarkStart w:id="11" w:name="_Toc178834447"/>
      <w:r>
        <w:t xml:space="preserve">Recent </w:t>
      </w:r>
      <w:r w:rsidR="002D0638">
        <w:t xml:space="preserve">Changes in </w:t>
      </w:r>
      <w:r w:rsidR="00C25281">
        <w:t>L</w:t>
      </w:r>
      <w:r w:rsidR="002D0638">
        <w:t xml:space="preserve">egal and </w:t>
      </w:r>
      <w:r w:rsidR="00C25281">
        <w:t>R</w:t>
      </w:r>
      <w:r w:rsidR="002D0638">
        <w:t xml:space="preserve">egulatory </w:t>
      </w:r>
      <w:r w:rsidR="00C25281">
        <w:t>L</w:t>
      </w:r>
      <w:r w:rsidR="002D0638">
        <w:t>andscape</w:t>
      </w:r>
      <w:bookmarkEnd w:id="11"/>
    </w:p>
    <w:p w14:paraId="502C53BC" w14:textId="77777777" w:rsidR="006E00BC" w:rsidRDefault="006E00BC" w:rsidP="006E00BC">
      <w:pPr>
        <w:pStyle w:val="Heading4"/>
      </w:pPr>
      <w:r>
        <w:t>Environmental Regulation</w:t>
      </w:r>
    </w:p>
    <w:p w14:paraId="4F952665" w14:textId="77777777" w:rsidR="006E00BC" w:rsidRDefault="006E00BC" w:rsidP="006E00BC">
      <w:r w:rsidRPr="00753DA4">
        <w:t>On April 25, 2024, the EPA issued final regulations under Section 111 of the Clean Air Act (CAA) regarding greenhouse gas emissions from fossil-based electric generating units (Final Rule).</w:t>
      </w:r>
      <w:r w:rsidRPr="00753DA4">
        <w:rPr>
          <w:vertAlign w:val="superscript"/>
        </w:rPr>
        <w:footnoteReference w:id="6"/>
      </w:r>
      <w:r w:rsidRPr="00753DA4">
        <w:t xml:space="preserve"> SPP and other interested parties including other regional </w:t>
      </w:r>
      <w:r>
        <w:t>transmission</w:t>
      </w:r>
      <w:r w:rsidRPr="00753DA4">
        <w:t xml:space="preserve"> organizations submitted comments in the rulemaking docket and engaged in discussions with EPA staff regarding the rule as initially proposed. The Final Rule reflected certain changes that EPA staff attributed to concerns raised in comments and discussions, including the removal of existing gas turbines from the scope of the Final Rule. The Final Rule covers two categories of generating units: existing coal-based units and new natural gas-based units. For existing coal-based units, the new emissions limits will take effect in 2032 and the BSER</w:t>
      </w:r>
      <w:r w:rsidRPr="00753DA4">
        <w:rPr>
          <w:vertAlign w:val="superscript"/>
        </w:rPr>
        <w:footnoteReference w:id="7"/>
      </w:r>
      <w:r w:rsidRPr="00753DA4">
        <w:t xml:space="preserve"> is carbon capture and sequestration. Under the Final Rule, coal-based units that plan to retire before 2039 can opt to be placed in a subcategory in which emissions limits based on gas co-firing will be required starting in 2030. The Final Rule groups new gas generation into three different categories based on capacity factors, with differing emissions limits and BSERs applied to each category. On May 20, 2024, SPP issued to its member utilities a statement expressing concern that, because of the critical role dispatchable thermal generation plays in the integration of renewable energy resources, the Final Rule could negatively impact SPP’s ability to provide consumers </w:t>
      </w:r>
      <w:r>
        <w:t xml:space="preserve">with </w:t>
      </w:r>
      <w:r w:rsidRPr="00753DA4">
        <w:t>reliable electric service during a time when additional generating capacity is already needed to ensure reliability.</w:t>
      </w:r>
    </w:p>
    <w:p w14:paraId="27EEC07E" w14:textId="77777777" w:rsidR="006E00BC" w:rsidRDefault="006E00BC" w:rsidP="006E00BC">
      <w:pPr>
        <w:pStyle w:val="Heading4"/>
      </w:pPr>
      <w:r>
        <w:t>Inflation Reduction Act</w:t>
      </w:r>
    </w:p>
    <w:p w14:paraId="0D5B6669" w14:textId="7A2D0396" w:rsidR="006E00BC" w:rsidRPr="00EB4483" w:rsidRDefault="006E00BC" w:rsidP="006E00BC">
      <w:r w:rsidRPr="00EB4483">
        <w:t xml:space="preserve">In 2023, </w:t>
      </w:r>
      <w:r>
        <w:t>one</w:t>
      </w:r>
      <w:r w:rsidRPr="00EB4483">
        <w:t xml:space="preserve"> year after Congress passed the Inflation Reduction Act (IRA), the </w:t>
      </w:r>
      <w:r>
        <w:t>U.S.</w:t>
      </w:r>
      <w:r w:rsidRPr="00EB4483">
        <w:t xml:space="preserve"> added 32 gigawatts of clean electricity to the U.S. grid in the form of new solar, battery storage, wind and nuclear</w:t>
      </w:r>
      <w:r>
        <w:t xml:space="preserve"> power</w:t>
      </w:r>
      <w:r w:rsidRPr="00EB4483">
        <w:t>.</w:t>
      </w:r>
      <w:r w:rsidRPr="00EB4483">
        <w:rPr>
          <w:vertAlign w:val="superscript"/>
        </w:rPr>
        <w:footnoteReference w:id="8"/>
      </w:r>
      <w:r w:rsidRPr="00EB4483">
        <w:t xml:space="preserve"> </w:t>
      </w:r>
      <w:bookmarkStart w:id="12" w:name="_Hlk174452184"/>
      <w:r w:rsidRPr="00EB4483">
        <w:t xml:space="preserve">To meet the law’s expected emissions reductions, the nation will need to add </w:t>
      </w:r>
      <w:r w:rsidRPr="00EB4483">
        <w:lastRenderedPageBreak/>
        <w:t>roughly 70 to 126 gigawatts of renewable electricity capacity between 2025 and 2030</w:t>
      </w:r>
      <w:bookmarkEnd w:id="12"/>
      <w:r w:rsidRPr="00EB4483">
        <w:t>.</w:t>
      </w:r>
      <w:r w:rsidRPr="00EB4483">
        <w:rPr>
          <w:vertAlign w:val="superscript"/>
        </w:rPr>
        <w:footnoteReference w:id="9"/>
      </w:r>
      <w:r w:rsidRPr="00EB4483">
        <w:t xml:space="preserve"> The biggest obstacles facing renewable electricity are logistical</w:t>
      </w:r>
      <w:r>
        <w:t>;</w:t>
      </w:r>
      <w:r w:rsidRPr="00EB4483">
        <w:t xml:space="preserve"> wind and solar projects are facing lengthy waits </w:t>
      </w:r>
      <w:r w:rsidR="009C6226">
        <w:t xml:space="preserve">in the interconnection queue </w:t>
      </w:r>
      <w:r w:rsidRPr="00EB4483">
        <w:t>to connect to electric grids, particularly because these renewable energy projects represent a more distributed network of generation with smaller projects trying to connect in more places.</w:t>
      </w:r>
      <w:r w:rsidRPr="00EB4483">
        <w:rPr>
          <w:vertAlign w:val="superscript"/>
        </w:rPr>
        <w:footnoteReference w:id="10"/>
      </w:r>
      <w:r w:rsidRPr="00EB4483">
        <w:t xml:space="preserve"> Moreover, it can take a decade or more to get permits for transmission lines and build them.</w:t>
      </w:r>
      <w:r w:rsidRPr="00EB4483">
        <w:rPr>
          <w:vertAlign w:val="superscript"/>
        </w:rPr>
        <w:footnoteReference w:id="11"/>
      </w:r>
      <w:r w:rsidRPr="00EB4483">
        <w:t xml:space="preserve"> Another obstacle, too, is the backlog in supply chains for developers and manufacturers of solar panels and other clean energy equipment.</w:t>
      </w:r>
      <w:r w:rsidRPr="00EB4483">
        <w:rPr>
          <w:vertAlign w:val="superscript"/>
        </w:rPr>
        <w:footnoteReference w:id="12"/>
      </w:r>
      <w:r w:rsidRPr="00EB4483">
        <w:t xml:space="preserve"> </w:t>
      </w:r>
    </w:p>
    <w:p w14:paraId="40377516" w14:textId="77777777" w:rsidR="006E00BC" w:rsidRPr="003B67A7" w:rsidRDefault="006E00BC" w:rsidP="006E00BC">
      <w:pPr>
        <w:pStyle w:val="Heading4"/>
      </w:pPr>
      <w:r w:rsidRPr="003B67A7">
        <w:t>DOE transmission corridors</w:t>
      </w:r>
    </w:p>
    <w:p w14:paraId="2A93A449" w14:textId="1BE720B4" w:rsidR="006E00BC" w:rsidRPr="003B67A7" w:rsidRDefault="006E00BC" w:rsidP="006E00BC">
      <w:r w:rsidRPr="003B67A7">
        <w:t>The Federal Power Act authorizes the Secretary of Energy to designate any geographic area as a National Interest Electric Transmission Corridor (NIETC) if</w:t>
      </w:r>
      <w:r>
        <w:t>: (1)</w:t>
      </w:r>
      <w:r w:rsidRPr="003B67A7">
        <w:t xml:space="preserve"> the Secretary finds that consumers are harmed by a lack of transmission in the area</w:t>
      </w:r>
      <w:r>
        <w:t>, and (2)</w:t>
      </w:r>
      <w:r w:rsidRPr="003B67A7">
        <w:t xml:space="preserve"> that the development of new transmission would advance important national interests in that area, such as increased reliability and reduced consumer costs. NIETCs are designated based on (1) findings from the National Transmission Needs Study, DOE’s state-of-the-grid report; (2) public input gained through collaboration with affected states, Tribes, local communities, industry and stakeholders; (3) information and recommendations relevant to transmission capacity constraints or congestion that harms consumers currently or in the future, and ongoing roadblocks to transmission development in those areas, such as permitting, siting, or regulatory issues; and (4) information on whether one or more transmission projects are already under development in those areas. A NIETC designation can unlock </w:t>
      </w:r>
      <w:r>
        <w:t>f</w:t>
      </w:r>
      <w:r w:rsidRPr="003B67A7">
        <w:t>ederal financing tools, specifically through the $2.5 billion Transmission Facilitation Program and the $2 billion Transmission Facility Financing Program. NIETC designation does not constitute selection of or a preference for a specific transmission project for financial purposes. A NIETC designation also allows</w:t>
      </w:r>
      <w:r>
        <w:t xml:space="preserve"> FERC </w:t>
      </w:r>
      <w:r w:rsidRPr="003B67A7">
        <w:t>to issue permits for the siting of transmission lines within the NIETC under circumstances where state siting authorities do not have authority to site the line, have not acted on an application for over one year, or have denied an application.</w:t>
      </w:r>
    </w:p>
    <w:p w14:paraId="7D124F72" w14:textId="77777777" w:rsidR="006E00BC" w:rsidRPr="003B67A7" w:rsidRDefault="006E00BC" w:rsidP="006E00BC">
      <w:r w:rsidRPr="003B67A7">
        <w:lastRenderedPageBreak/>
        <w:t>The preliminary list of potential NIETCs released in May 2024 includes ten potential NIETCs. The DOE intends to narrow the list of potential NIETCs that proceed to the next phase of the NIETC designation process.</w:t>
      </w:r>
    </w:p>
    <w:p w14:paraId="427EBAD4" w14:textId="77777777" w:rsidR="006E00BC" w:rsidRPr="003B67A7" w:rsidRDefault="006E00BC" w:rsidP="006E00BC">
      <w:pPr>
        <w:pStyle w:val="Heading4"/>
      </w:pPr>
      <w:r w:rsidRPr="003B67A7">
        <w:t>FERC Order 1920</w:t>
      </w:r>
    </w:p>
    <w:p w14:paraId="12D23EF2" w14:textId="77777777" w:rsidR="006E00BC" w:rsidRPr="003B67A7" w:rsidRDefault="006E00BC" w:rsidP="006E00BC">
      <w:r w:rsidRPr="003B67A7">
        <w:t xml:space="preserve">Order No. 1920 implements major reforms to transmission planning requirements applicable to transmission providers. The reforms are intended to preserve reliability and keep electricity rates down amid factors affecting the electric power sector, including more frequent and intense extreme weather events, load growth associated with electrification and new technologies, and the evolution of the country’s generation resource mix to meet public policy and customer demands for lower carbon emissions and an increase in renewable resources. The Order requires transmission providers to produce a regional transmission plan for a minimum of at least 20 years to identify long-term transmission needs. Transmission providers must conduct this long-term planning every five years using a plausible and diverse set of at least three long-term scenarios and use the “best available data” to evaluate long-term regional transmission needs. Order 1920 also requires transmission providers to file an </w:t>
      </w:r>
      <w:r w:rsidRPr="003B67A7">
        <w:rPr>
          <w:i/>
          <w:iCs/>
        </w:rPr>
        <w:t>ex</w:t>
      </w:r>
      <w:r>
        <w:rPr>
          <w:i/>
          <w:iCs/>
        </w:rPr>
        <w:t>-</w:t>
      </w:r>
      <w:r w:rsidRPr="003B67A7">
        <w:rPr>
          <w:i/>
          <w:iCs/>
        </w:rPr>
        <w:t xml:space="preserve">ante </w:t>
      </w:r>
      <w:r w:rsidRPr="003B67A7">
        <w:t xml:space="preserve">cost allocation method for the long-term projects identified. Transmission providers must add provisions to their tariffs allowing for a six month “engagement period” giving relevant state entities time and a forum to discuss and negotiate on a cost allocation method. Finally, the Order requires transmission providers in each transmission planning region to consider whether selecting transmission facilities that incorporate dynamic line ratings and advanced power flow control devices would be more efficient or cost-effective than selecting transmission facilities that do not incorporate these technologies. SPP is reviewing Order No. 1920 and determining next steps for compliance. </w:t>
      </w:r>
    </w:p>
    <w:p w14:paraId="26C57AEB" w14:textId="77777777" w:rsidR="006E00BC" w:rsidRPr="003B67A7" w:rsidRDefault="006E00BC" w:rsidP="006E00BC">
      <w:pPr>
        <w:pStyle w:val="Heading4"/>
      </w:pPr>
      <w:r w:rsidRPr="003B67A7">
        <w:t>FERC Order 2023</w:t>
      </w:r>
    </w:p>
    <w:p w14:paraId="01095B46" w14:textId="77777777" w:rsidR="006E00BC" w:rsidRPr="003B67A7" w:rsidRDefault="006E00BC" w:rsidP="006E00BC">
      <w:r w:rsidRPr="003B67A7">
        <w:t>FERC Order</w:t>
      </w:r>
      <w:r>
        <w:t>s</w:t>
      </w:r>
      <w:r w:rsidRPr="003B67A7">
        <w:t xml:space="preserve"> 2023 and 2023-A include </w:t>
      </w:r>
      <w:bookmarkStart w:id="13" w:name="_Hlk174452535"/>
      <w:r w:rsidRPr="003B67A7">
        <w:t>several key areas of reforms to the generator interconnection process</w:t>
      </w:r>
      <w:bookmarkEnd w:id="13"/>
      <w:r w:rsidRPr="003B67A7">
        <w:t>, including (1) institution of a first-ready-first-served cluster study process with increased financial commitments for interconnection customers, (2) imposition of firm deadlines and penalties if transmission providers fail to complete their interconnection studies on time, (3) incorporation of technological advancements into the interconnection process including consideration of advanced transmission technologies in the interconnection study process, and (4) an update of modeling and performance requirements for inverter-based resources to ensure continued system reliability.</w:t>
      </w:r>
    </w:p>
    <w:p w14:paraId="1061311B" w14:textId="33C28F10" w:rsidR="00C25281" w:rsidRPr="002D0638" w:rsidRDefault="006E00BC" w:rsidP="00372AEC">
      <w:r w:rsidRPr="003B67A7">
        <w:t xml:space="preserve">To incorporate technological advancements into the interconnection process, the </w:t>
      </w:r>
      <w:r>
        <w:t>F</w:t>
      </w:r>
      <w:r w:rsidRPr="003B67A7">
        <w:t xml:space="preserve">inal </w:t>
      </w:r>
      <w:r>
        <w:t>R</w:t>
      </w:r>
      <w:r w:rsidRPr="003B67A7">
        <w:t xml:space="preserve">ule revised the </w:t>
      </w:r>
      <w:r w:rsidRPr="003B67A7">
        <w:rPr>
          <w:i/>
          <w:iCs/>
        </w:rPr>
        <w:t xml:space="preserve">pro forma </w:t>
      </w:r>
      <w:r w:rsidRPr="003B67A7">
        <w:t>interconnection procedures and agreements aimed at increasing flexibility in the generator interconnection process</w:t>
      </w:r>
      <w:r>
        <w:t>,</w:t>
      </w:r>
      <w:r w:rsidRPr="003B67A7">
        <w:t xml:space="preserve"> including: (1) allowing generating facilities behind one-point of interconnection to co-locate, (2) revising the modification process to allow interconnection customers to request the addition of a generating facility to an existing interconnection request, (3) increasing the availability of surplus interconnection service, (4) allowing interconnection customers to propose operating assumptions for their generating facilities, and (5) requiring transmission providers to evaluate alternative transmission technologies when conducting a cluster study. SPP submitted its compliance filing in May 2024.</w:t>
      </w:r>
    </w:p>
    <w:p w14:paraId="075BB668" w14:textId="406468B9" w:rsidR="0019025B" w:rsidRDefault="005A01C0" w:rsidP="00372AEC">
      <w:pPr>
        <w:pStyle w:val="Heading3"/>
        <w:numPr>
          <w:ilvl w:val="0"/>
          <w:numId w:val="29"/>
        </w:numPr>
      </w:pPr>
      <w:bookmarkStart w:id="14" w:name="_Toc178834448"/>
      <w:r>
        <w:lastRenderedPageBreak/>
        <w:t xml:space="preserve">2023 </w:t>
      </w:r>
      <w:r w:rsidR="00C25281">
        <w:t>R</w:t>
      </w:r>
      <w:r>
        <w:t xml:space="preserve">eport </w:t>
      </w:r>
      <w:r w:rsidR="0019025B">
        <w:t xml:space="preserve">Recommendations by </w:t>
      </w:r>
      <w:r w:rsidR="00C25281">
        <w:t>P</w:t>
      </w:r>
      <w:r w:rsidR="0019025B">
        <w:t>riority</w:t>
      </w:r>
      <w:bookmarkEnd w:id="14"/>
    </w:p>
    <w:p w14:paraId="6471714C" w14:textId="77777777" w:rsidR="0019025B" w:rsidRDefault="0019025B" w:rsidP="0019025B">
      <w:pPr>
        <w:pStyle w:val="Heading4"/>
      </w:pPr>
      <w:r>
        <w:t>High priority</w:t>
      </w:r>
    </w:p>
    <w:tbl>
      <w:tblPr>
        <w:tblStyle w:val="GridTable4-Accent3"/>
        <w:tblW w:w="0" w:type="auto"/>
        <w:tblLook w:val="04A0" w:firstRow="1" w:lastRow="0" w:firstColumn="1" w:lastColumn="0" w:noHBand="0" w:noVBand="1"/>
      </w:tblPr>
      <w:tblGrid>
        <w:gridCol w:w="3116"/>
        <w:gridCol w:w="3117"/>
        <w:gridCol w:w="3117"/>
      </w:tblGrid>
      <w:tr w:rsidR="0019025B" w14:paraId="72E8C4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F144F51" w14:textId="77777777" w:rsidR="0019025B" w:rsidRDefault="0019025B">
            <w:r>
              <w:t>Initiative</w:t>
            </w:r>
          </w:p>
        </w:tc>
        <w:tc>
          <w:tcPr>
            <w:tcW w:w="3117" w:type="dxa"/>
          </w:tcPr>
          <w:p w14:paraId="7933C70A" w14:textId="77777777" w:rsidR="0019025B" w:rsidRDefault="0019025B">
            <w:pPr>
              <w:cnfStyle w:val="100000000000" w:firstRow="1" w:lastRow="0" w:firstColumn="0" w:lastColumn="0" w:oddVBand="0" w:evenVBand="0" w:oddHBand="0" w:evenHBand="0" w:firstRowFirstColumn="0" w:firstRowLastColumn="0" w:lastRowFirstColumn="0" w:lastRowLastColumn="0"/>
            </w:pPr>
            <w:r>
              <w:t>Description of Work Product</w:t>
            </w:r>
          </w:p>
        </w:tc>
        <w:tc>
          <w:tcPr>
            <w:tcW w:w="3117" w:type="dxa"/>
          </w:tcPr>
          <w:p w14:paraId="5267CB22" w14:textId="77777777" w:rsidR="0019025B" w:rsidRDefault="0019025B">
            <w:pPr>
              <w:cnfStyle w:val="100000000000" w:firstRow="1" w:lastRow="0" w:firstColumn="0" w:lastColumn="0" w:oddVBand="0" w:evenVBand="0" w:oddHBand="0" w:evenHBand="0" w:firstRowFirstColumn="0" w:firstRowLastColumn="0" w:lastRowFirstColumn="0" w:lastRowLastColumn="0"/>
            </w:pPr>
            <w:r>
              <w:t>SIR / Aligned with:</w:t>
            </w:r>
          </w:p>
        </w:tc>
      </w:tr>
      <w:tr w:rsidR="0019025B" w14:paraId="09A0FD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6D95454" w14:textId="77777777" w:rsidR="0019025B" w:rsidRDefault="0019025B">
            <w:r>
              <w:t>EA1: Assess Evolving Energy and Resource Adequacy</w:t>
            </w:r>
          </w:p>
        </w:tc>
        <w:tc>
          <w:tcPr>
            <w:tcW w:w="3117" w:type="dxa"/>
          </w:tcPr>
          <w:p w14:paraId="3A850CA2" w14:textId="77777777" w:rsidR="0019025B" w:rsidRPr="00A9619A" w:rsidRDefault="0019025B" w:rsidP="0019025B">
            <w:pPr>
              <w:numPr>
                <w:ilvl w:val="0"/>
                <w:numId w:val="14"/>
              </w:numPr>
              <w:cnfStyle w:val="000000100000" w:firstRow="0" w:lastRow="0" w:firstColumn="0" w:lastColumn="0" w:oddVBand="0" w:evenVBand="0" w:oddHBand="1" w:evenHBand="0" w:firstRowFirstColumn="0" w:firstRowLastColumn="0" w:lastRowFirstColumn="0" w:lastRowLastColumn="0"/>
            </w:pPr>
            <w:r w:rsidRPr="00A9619A">
              <w:t xml:space="preserve">Complete all phases of the FERNS </w:t>
            </w:r>
            <w:r w:rsidRPr="00A9619A">
              <w:br/>
              <w:t xml:space="preserve">study and implement outcomes in </w:t>
            </w:r>
            <w:r w:rsidRPr="00A9619A">
              <w:br/>
              <w:t>planning studies.</w:t>
            </w:r>
          </w:p>
          <w:p w14:paraId="1D426ED5" w14:textId="77777777" w:rsidR="0019025B" w:rsidRPr="00A9619A" w:rsidRDefault="0019025B" w:rsidP="0019025B">
            <w:pPr>
              <w:numPr>
                <w:ilvl w:val="0"/>
                <w:numId w:val="14"/>
              </w:numPr>
              <w:cnfStyle w:val="000000100000" w:firstRow="0" w:lastRow="0" w:firstColumn="0" w:lastColumn="0" w:oddVBand="0" w:evenVBand="0" w:oddHBand="1" w:evenHBand="0" w:firstRowFirstColumn="0" w:firstRowLastColumn="0" w:lastRowFirstColumn="0" w:lastRowLastColumn="0"/>
            </w:pPr>
            <w:r w:rsidRPr="00A9619A">
              <w:t xml:space="preserve">Periodically update the FGSAG on </w:t>
            </w:r>
            <w:r w:rsidRPr="00A9619A">
              <w:br/>
              <w:t xml:space="preserve">FERNS study milestones and </w:t>
            </w:r>
            <w:r w:rsidRPr="00A9619A">
              <w:br/>
              <w:t>progress.</w:t>
            </w:r>
          </w:p>
          <w:p w14:paraId="18A29BE7"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31439B13" w14:textId="77777777" w:rsidR="0019025B" w:rsidRDefault="0019025B">
            <w:pPr>
              <w:cnfStyle w:val="000000100000" w:firstRow="0" w:lastRow="0" w:firstColumn="0" w:lastColumn="0" w:oddVBand="0" w:evenVBand="0" w:oddHBand="1" w:evenHBand="0" w:firstRowFirstColumn="0" w:firstRowLastColumn="0" w:lastRowFirstColumn="0" w:lastRowLastColumn="0"/>
            </w:pPr>
            <w:r>
              <w:t>SIR: 365 / 0219.6/ 0219.4</w:t>
            </w:r>
            <w:r>
              <w:br/>
            </w:r>
            <w:r>
              <w:br/>
              <w:t>(In Progress – Est Completion 12/2024)</w:t>
            </w:r>
          </w:p>
        </w:tc>
      </w:tr>
      <w:tr w:rsidR="0019025B" w14:paraId="25AD493C" w14:textId="77777777">
        <w:tc>
          <w:tcPr>
            <w:cnfStyle w:val="001000000000" w:firstRow="0" w:lastRow="0" w:firstColumn="1" w:lastColumn="0" w:oddVBand="0" w:evenVBand="0" w:oddHBand="0" w:evenHBand="0" w:firstRowFirstColumn="0" w:firstRowLastColumn="0" w:lastRowFirstColumn="0" w:lastRowLastColumn="0"/>
            <w:tcW w:w="3116" w:type="dxa"/>
          </w:tcPr>
          <w:p w14:paraId="002BAEF1" w14:textId="77777777" w:rsidR="0019025B" w:rsidRDefault="0019025B">
            <w:r>
              <w:t>EA2: Evaluate the Need for RTO Backstop Authority</w:t>
            </w:r>
          </w:p>
        </w:tc>
        <w:tc>
          <w:tcPr>
            <w:tcW w:w="3117" w:type="dxa"/>
          </w:tcPr>
          <w:p w14:paraId="26E3072E" w14:textId="77777777" w:rsidR="0019025B" w:rsidRPr="00E77D64" w:rsidRDefault="0019025B" w:rsidP="0019025B">
            <w:pPr>
              <w:numPr>
                <w:ilvl w:val="0"/>
                <w:numId w:val="15"/>
              </w:numPr>
              <w:cnfStyle w:val="000000000000" w:firstRow="0" w:lastRow="0" w:firstColumn="0" w:lastColumn="0" w:oddVBand="0" w:evenVBand="0" w:oddHBand="0" w:evenHBand="0" w:firstRowFirstColumn="0" w:firstRowLastColumn="0" w:lastRowFirstColumn="0" w:lastRowLastColumn="0"/>
            </w:pPr>
            <w:r w:rsidRPr="00E77D64">
              <w:t xml:space="preserve">Receive update from REAL team on </w:t>
            </w:r>
            <w:r w:rsidRPr="00E77D64">
              <w:br/>
              <w:t>Seasonal PRM policy.</w:t>
            </w:r>
          </w:p>
          <w:p w14:paraId="6E9728F5" w14:textId="77777777" w:rsidR="0019025B" w:rsidRPr="00E77D64" w:rsidRDefault="0019025B" w:rsidP="0019025B">
            <w:pPr>
              <w:numPr>
                <w:ilvl w:val="0"/>
                <w:numId w:val="15"/>
              </w:numPr>
              <w:cnfStyle w:val="000000000000" w:firstRow="0" w:lastRow="0" w:firstColumn="0" w:lastColumn="0" w:oddVBand="0" w:evenVBand="0" w:oddHBand="0" w:evenHBand="0" w:firstRowFirstColumn="0" w:firstRowLastColumn="0" w:lastRowFirstColumn="0" w:lastRowLastColumn="0"/>
            </w:pPr>
            <w:r w:rsidRPr="00E77D64">
              <w:t xml:space="preserve">Receive update from REAL team on </w:t>
            </w:r>
            <w:r w:rsidRPr="00E77D64">
              <w:br/>
              <w:t>Performance-Based Accreditation policy.</w:t>
            </w:r>
          </w:p>
          <w:p w14:paraId="380B1E8A" w14:textId="77777777" w:rsidR="0019025B" w:rsidRPr="00E77D64" w:rsidRDefault="0019025B" w:rsidP="0019025B">
            <w:pPr>
              <w:numPr>
                <w:ilvl w:val="0"/>
                <w:numId w:val="15"/>
              </w:numPr>
              <w:cnfStyle w:val="000000000000" w:firstRow="0" w:lastRow="0" w:firstColumn="0" w:lastColumn="0" w:oddVBand="0" w:evenVBand="0" w:oddHBand="0" w:evenHBand="0" w:firstRowFirstColumn="0" w:firstRowLastColumn="0" w:lastRowFirstColumn="0" w:lastRowLastColumn="0"/>
            </w:pPr>
            <w:r w:rsidRPr="00E77D64">
              <w:t xml:space="preserve">Receive update from REAL team on </w:t>
            </w:r>
            <w:r w:rsidRPr="00E77D64">
              <w:br/>
              <w:t>Resource Retention policy.</w:t>
            </w:r>
          </w:p>
          <w:p w14:paraId="1D9F5E64" w14:textId="77777777" w:rsidR="0019025B" w:rsidRPr="00E77D64" w:rsidRDefault="0019025B" w:rsidP="0019025B">
            <w:pPr>
              <w:numPr>
                <w:ilvl w:val="0"/>
                <w:numId w:val="15"/>
              </w:numPr>
              <w:cnfStyle w:val="000000000000" w:firstRow="0" w:lastRow="0" w:firstColumn="0" w:lastColumn="0" w:oddVBand="0" w:evenVBand="0" w:oddHBand="0" w:evenHBand="0" w:firstRowFirstColumn="0" w:firstRowLastColumn="0" w:lastRowFirstColumn="0" w:lastRowLastColumn="0"/>
            </w:pPr>
            <w:r w:rsidRPr="00E77D64">
              <w:t xml:space="preserve">Receive update on Effective Load Carrying </w:t>
            </w:r>
            <w:r w:rsidRPr="00E77D64">
              <w:br/>
              <w:t>Capability policy.</w:t>
            </w:r>
          </w:p>
          <w:p w14:paraId="05F4D608" w14:textId="77777777" w:rsidR="0019025B" w:rsidRPr="00E77D64" w:rsidRDefault="0019025B" w:rsidP="0019025B">
            <w:pPr>
              <w:numPr>
                <w:ilvl w:val="0"/>
                <w:numId w:val="15"/>
              </w:numPr>
              <w:cnfStyle w:val="000000000000" w:firstRow="0" w:lastRow="0" w:firstColumn="0" w:lastColumn="0" w:oddVBand="0" w:evenVBand="0" w:oddHBand="0" w:evenHBand="0" w:firstRowFirstColumn="0" w:firstRowLastColumn="0" w:lastRowFirstColumn="0" w:lastRowLastColumn="0"/>
            </w:pPr>
            <w:r w:rsidRPr="00E77D64">
              <w:t xml:space="preserve">Determine the need for a backstop capacity </w:t>
            </w:r>
            <w:r w:rsidRPr="00E77D64">
              <w:br/>
              <w:t xml:space="preserve">procurement authority, and if need </w:t>
            </w:r>
            <w:r w:rsidRPr="00E77D64">
              <w:lastRenderedPageBreak/>
              <w:t xml:space="preserve">exists, </w:t>
            </w:r>
            <w:r w:rsidRPr="00E77D64">
              <w:br/>
              <w:t xml:space="preserve">draft policy in conjunction with appropriate </w:t>
            </w:r>
            <w:r w:rsidRPr="00E77D64">
              <w:br/>
              <w:t>stakeholder groups.</w:t>
            </w:r>
          </w:p>
          <w:p w14:paraId="1CC3B11F"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1A6EBF4A" w14:textId="77777777" w:rsidR="0019025B" w:rsidRDefault="0019025B">
            <w:pPr>
              <w:cnfStyle w:val="000000000000" w:firstRow="0" w:lastRow="0" w:firstColumn="0" w:lastColumn="0" w:oddVBand="0" w:evenVBand="0" w:oddHBand="0" w:evenHBand="0" w:firstRowFirstColumn="0" w:firstRowLastColumn="0" w:lastRowFirstColumn="0" w:lastRowLastColumn="0"/>
            </w:pPr>
            <w:r>
              <w:lastRenderedPageBreak/>
              <w:t>NO sirs:  Not Started</w:t>
            </w:r>
          </w:p>
        </w:tc>
      </w:tr>
      <w:tr w:rsidR="0019025B" w14:paraId="5EEB91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DF43FD" w14:textId="77777777" w:rsidR="0019025B" w:rsidRDefault="0019025B">
            <w:r>
              <w:t>EA7: Enhance Risk Based Planning for Extreme Weather / Resource Diversity</w:t>
            </w:r>
          </w:p>
        </w:tc>
        <w:tc>
          <w:tcPr>
            <w:tcW w:w="3117" w:type="dxa"/>
          </w:tcPr>
          <w:p w14:paraId="273FF570" w14:textId="77777777" w:rsidR="0019025B" w:rsidRPr="001445A3" w:rsidRDefault="0019025B" w:rsidP="0019025B">
            <w:pPr>
              <w:numPr>
                <w:ilvl w:val="0"/>
                <w:numId w:val="16"/>
              </w:numPr>
              <w:cnfStyle w:val="000000100000" w:firstRow="0" w:lastRow="0" w:firstColumn="0" w:lastColumn="0" w:oddVBand="0" w:evenVBand="0" w:oddHBand="1" w:evenHBand="0" w:firstRowFirstColumn="0" w:firstRowLastColumn="0" w:lastRowFirstColumn="0" w:lastRowLastColumn="0"/>
            </w:pPr>
            <w:r w:rsidRPr="001445A3">
              <w:t>Determine the role that the FGSAG will have in implementing this recommendation.</w:t>
            </w:r>
          </w:p>
          <w:p w14:paraId="5BB789D3" w14:textId="77777777" w:rsidR="0019025B" w:rsidRPr="001445A3" w:rsidRDefault="0019025B" w:rsidP="0019025B">
            <w:pPr>
              <w:numPr>
                <w:ilvl w:val="0"/>
                <w:numId w:val="16"/>
              </w:numPr>
              <w:cnfStyle w:val="000000100000" w:firstRow="0" w:lastRow="0" w:firstColumn="0" w:lastColumn="0" w:oddVBand="0" w:evenVBand="0" w:oddHBand="1" w:evenHBand="0" w:firstRowFirstColumn="0" w:firstRowLastColumn="0" w:lastRowFirstColumn="0" w:lastRowLastColumn="0"/>
            </w:pPr>
            <w:r w:rsidRPr="001445A3">
              <w:t xml:space="preserve">Determine if FERC Orders 896 and 897, </w:t>
            </w:r>
            <w:r w:rsidRPr="001445A3">
              <w:br/>
              <w:t xml:space="preserve">EPRI Climate Readi Team, WWE Analysis, </w:t>
            </w:r>
            <w:r w:rsidRPr="001445A3">
              <w:br/>
              <w:t>SCRIPT O6 satisfy this recommendation.</w:t>
            </w:r>
          </w:p>
          <w:p w14:paraId="2B2F5013" w14:textId="77777777" w:rsidR="0019025B" w:rsidRPr="001445A3" w:rsidRDefault="0019025B" w:rsidP="0019025B">
            <w:pPr>
              <w:numPr>
                <w:ilvl w:val="0"/>
                <w:numId w:val="16"/>
              </w:numPr>
              <w:cnfStyle w:val="000000100000" w:firstRow="0" w:lastRow="0" w:firstColumn="0" w:lastColumn="0" w:oddVBand="0" w:evenVBand="0" w:oddHBand="1" w:evenHBand="0" w:firstRowFirstColumn="0" w:firstRowLastColumn="0" w:lastRowFirstColumn="0" w:lastRowLastColumn="0"/>
            </w:pPr>
            <w:r w:rsidRPr="001445A3">
              <w:t xml:space="preserve">Determine whether any remaining work </w:t>
            </w:r>
            <w:r w:rsidRPr="001445A3">
              <w:br/>
              <w:t>is necessary to satisfy this recommendation.</w:t>
            </w:r>
          </w:p>
          <w:p w14:paraId="511FBC5F"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498A6FB0" w14:textId="77777777" w:rsidR="0019025B" w:rsidRDefault="0019025B">
            <w:pPr>
              <w:cnfStyle w:val="000000100000" w:firstRow="0" w:lastRow="0" w:firstColumn="0" w:lastColumn="0" w:oddVBand="0" w:evenVBand="0" w:oddHBand="1" w:evenHBand="0" w:firstRowFirstColumn="0" w:firstRowLastColumn="0" w:lastRowFirstColumn="0" w:lastRowLastColumn="0"/>
            </w:pPr>
            <w:r>
              <w:t>SIR: 220 / 208 (In Progress)</w:t>
            </w:r>
          </w:p>
        </w:tc>
      </w:tr>
      <w:tr w:rsidR="0019025B" w14:paraId="3DE8CE9D" w14:textId="77777777">
        <w:tc>
          <w:tcPr>
            <w:cnfStyle w:val="001000000000" w:firstRow="0" w:lastRow="0" w:firstColumn="1" w:lastColumn="0" w:oddVBand="0" w:evenVBand="0" w:oddHBand="0" w:evenHBand="0" w:firstRowFirstColumn="0" w:firstRowLastColumn="0" w:lastRowFirstColumn="0" w:lastRowLastColumn="0"/>
            <w:tcW w:w="3116" w:type="dxa"/>
          </w:tcPr>
          <w:p w14:paraId="0E33D814" w14:textId="77777777" w:rsidR="0019025B" w:rsidRDefault="0019025B">
            <w:r>
              <w:t>GS1: Assess Essential Reliability Services Necessary for Reliable Grid Operation</w:t>
            </w:r>
          </w:p>
        </w:tc>
        <w:tc>
          <w:tcPr>
            <w:tcW w:w="3117" w:type="dxa"/>
          </w:tcPr>
          <w:p w14:paraId="75F53B73" w14:textId="77777777" w:rsidR="0019025B" w:rsidRPr="001445A3" w:rsidRDefault="0019025B" w:rsidP="0019025B">
            <w:pPr>
              <w:numPr>
                <w:ilvl w:val="0"/>
                <w:numId w:val="17"/>
              </w:numPr>
              <w:cnfStyle w:val="000000000000" w:firstRow="0" w:lastRow="0" w:firstColumn="0" w:lastColumn="0" w:oddVBand="0" w:evenVBand="0" w:oddHBand="0" w:evenHBand="0" w:firstRowFirstColumn="0" w:firstRowLastColumn="0" w:lastRowFirstColumn="0" w:lastRowLastColumn="0"/>
            </w:pPr>
            <w:r w:rsidRPr="001445A3">
              <w:t xml:space="preserve">Complete all phases of the FERNS </w:t>
            </w:r>
            <w:r w:rsidRPr="001445A3">
              <w:br/>
              <w:t>study and implement outcomes in</w:t>
            </w:r>
            <w:r w:rsidRPr="001445A3">
              <w:br/>
              <w:t>planning studies.</w:t>
            </w:r>
            <w:r w:rsidRPr="001445A3">
              <w:br/>
              <w:t xml:space="preserve">Educate FGSAG members on ERS/ORS </w:t>
            </w:r>
            <w:r w:rsidRPr="001445A3">
              <w:br/>
              <w:t>work as part of the HITT program.</w:t>
            </w:r>
          </w:p>
          <w:p w14:paraId="5BF68FDB" w14:textId="77777777" w:rsidR="0019025B" w:rsidRPr="001445A3" w:rsidRDefault="0019025B" w:rsidP="0019025B">
            <w:pPr>
              <w:numPr>
                <w:ilvl w:val="0"/>
                <w:numId w:val="17"/>
              </w:numPr>
              <w:cnfStyle w:val="000000000000" w:firstRow="0" w:lastRow="0" w:firstColumn="0" w:lastColumn="0" w:oddVBand="0" w:evenVBand="0" w:oddHBand="0" w:evenHBand="0" w:firstRowFirstColumn="0" w:firstRowLastColumn="0" w:lastRowFirstColumn="0" w:lastRowLastColumn="0"/>
            </w:pPr>
            <w:r w:rsidRPr="001445A3">
              <w:t xml:space="preserve">Receive updates from the REAL team </w:t>
            </w:r>
            <w:r w:rsidRPr="001445A3">
              <w:br/>
              <w:t>work on the IRATF recommendations.</w:t>
            </w:r>
          </w:p>
          <w:p w14:paraId="1CF99FC0" w14:textId="77777777" w:rsidR="0019025B" w:rsidRPr="001445A3" w:rsidRDefault="0019025B" w:rsidP="0019025B">
            <w:pPr>
              <w:numPr>
                <w:ilvl w:val="0"/>
                <w:numId w:val="17"/>
              </w:numPr>
              <w:cnfStyle w:val="000000000000" w:firstRow="0" w:lastRow="0" w:firstColumn="0" w:lastColumn="0" w:oddVBand="0" w:evenVBand="0" w:oddHBand="0" w:evenHBand="0" w:firstRowFirstColumn="0" w:firstRowLastColumn="0" w:lastRowFirstColumn="0" w:lastRowLastColumn="0"/>
            </w:pPr>
            <w:r w:rsidRPr="001445A3">
              <w:t xml:space="preserve">Determine what remaining work may be </w:t>
            </w:r>
            <w:r w:rsidRPr="001445A3">
              <w:br/>
            </w:r>
            <w:r w:rsidRPr="001445A3">
              <w:lastRenderedPageBreak/>
              <w:t xml:space="preserve">needed to satisfy this recommendation </w:t>
            </w:r>
            <w:r w:rsidRPr="001445A3">
              <w:br/>
              <w:t>and take appropriate action.</w:t>
            </w:r>
          </w:p>
          <w:p w14:paraId="2F723E66"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4CD0AAFE" w14:textId="77777777" w:rsidR="0019025B" w:rsidRDefault="0019025B">
            <w:pPr>
              <w:cnfStyle w:val="000000000000" w:firstRow="0" w:lastRow="0" w:firstColumn="0" w:lastColumn="0" w:oddVBand="0" w:evenVBand="0" w:oddHBand="0" w:evenHBand="0" w:firstRowFirstColumn="0" w:firstRowLastColumn="0" w:lastRowFirstColumn="0" w:lastRowLastColumn="0"/>
            </w:pPr>
            <w:r>
              <w:lastRenderedPageBreak/>
              <w:t>SIR: 209.5 / 219.2 / 205 / 16</w:t>
            </w:r>
          </w:p>
          <w:p w14:paraId="7C3CA73D" w14:textId="77777777" w:rsidR="0019025B" w:rsidRDefault="0019025B">
            <w:pPr>
              <w:cnfStyle w:val="000000000000" w:firstRow="0" w:lastRow="0" w:firstColumn="0" w:lastColumn="0" w:oddVBand="0" w:evenVBand="0" w:oddHBand="0" w:evenHBand="0" w:firstRowFirstColumn="0" w:firstRowLastColumn="0" w:lastRowFirstColumn="0" w:lastRowLastColumn="0"/>
            </w:pPr>
            <w:r>
              <w:t>(In Progress)</w:t>
            </w:r>
          </w:p>
        </w:tc>
      </w:tr>
      <w:tr w:rsidR="0019025B" w14:paraId="6A28A8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4B35D4" w14:textId="77777777" w:rsidR="0019025B" w:rsidRDefault="0019025B">
            <w:r>
              <w:t>GS5: Prepare for the Integration and Utilization of Storage and Hybrid Resources</w:t>
            </w:r>
          </w:p>
        </w:tc>
        <w:tc>
          <w:tcPr>
            <w:tcW w:w="3117" w:type="dxa"/>
          </w:tcPr>
          <w:p w14:paraId="0B5CC2DC" w14:textId="77777777" w:rsidR="0019025B" w:rsidRPr="005E0D58" w:rsidRDefault="0019025B" w:rsidP="0019025B">
            <w:pPr>
              <w:numPr>
                <w:ilvl w:val="0"/>
                <w:numId w:val="18"/>
              </w:numPr>
              <w:cnfStyle w:val="000000100000" w:firstRow="0" w:lastRow="0" w:firstColumn="0" w:lastColumn="0" w:oddVBand="0" w:evenVBand="0" w:oddHBand="1" w:evenHBand="0" w:firstRowFirstColumn="0" w:firstRowLastColumn="0" w:lastRowFirstColumn="0" w:lastRowLastColumn="0"/>
            </w:pPr>
            <w:r w:rsidRPr="005E0D58">
              <w:t xml:space="preserve">Complete all phases of the FERNS study </w:t>
            </w:r>
            <w:r w:rsidRPr="005E0D58">
              <w:br/>
              <w:t>and implement outcomes in</w:t>
            </w:r>
            <w:r w:rsidRPr="005E0D58">
              <w:br/>
              <w:t>planning studies.</w:t>
            </w:r>
          </w:p>
          <w:p w14:paraId="00AC3849" w14:textId="77777777" w:rsidR="0019025B" w:rsidRPr="005E0D58" w:rsidRDefault="0019025B" w:rsidP="0019025B">
            <w:pPr>
              <w:numPr>
                <w:ilvl w:val="0"/>
                <w:numId w:val="18"/>
              </w:numPr>
              <w:cnfStyle w:val="000000100000" w:firstRow="0" w:lastRow="0" w:firstColumn="0" w:lastColumn="0" w:oddVBand="0" w:evenVBand="0" w:oddHBand="1" w:evenHBand="0" w:firstRowFirstColumn="0" w:firstRowLastColumn="0" w:lastRowFirstColumn="0" w:lastRowLastColumn="0"/>
            </w:pPr>
            <w:r w:rsidRPr="005E0D58">
              <w:t xml:space="preserve">Assess how market storage </w:t>
            </w:r>
            <w:r w:rsidRPr="005E0D58">
              <w:br/>
              <w:t xml:space="preserve">resources/energy storage resources </w:t>
            </w:r>
            <w:r w:rsidRPr="005E0D58">
              <w:br/>
              <w:t>are performing in the Integrated Marketplace.</w:t>
            </w:r>
          </w:p>
          <w:p w14:paraId="69F7EB22" w14:textId="77777777" w:rsidR="0019025B" w:rsidRPr="005E0D58" w:rsidRDefault="0019025B" w:rsidP="0019025B">
            <w:pPr>
              <w:numPr>
                <w:ilvl w:val="0"/>
                <w:numId w:val="18"/>
              </w:numPr>
              <w:cnfStyle w:val="000000100000" w:firstRow="0" w:lastRow="0" w:firstColumn="0" w:lastColumn="0" w:oddVBand="0" w:evenVBand="0" w:oddHBand="1" w:evenHBand="0" w:firstRowFirstColumn="0" w:firstRowLastColumn="0" w:lastRowFirstColumn="0" w:lastRowLastColumn="0"/>
            </w:pPr>
            <w:r w:rsidRPr="005E0D58">
              <w:t xml:space="preserve">Determine whether any additional market </w:t>
            </w:r>
            <w:r w:rsidRPr="005E0D58">
              <w:br/>
              <w:t xml:space="preserve">modifications are necessary to improve </w:t>
            </w:r>
            <w:r w:rsidRPr="005E0D58">
              <w:br/>
              <w:t>their performance.</w:t>
            </w:r>
          </w:p>
          <w:p w14:paraId="67047468" w14:textId="77777777" w:rsidR="0019025B" w:rsidRPr="005E0D58" w:rsidRDefault="0019025B" w:rsidP="0019025B">
            <w:pPr>
              <w:numPr>
                <w:ilvl w:val="0"/>
                <w:numId w:val="18"/>
              </w:numPr>
              <w:cnfStyle w:val="000000100000" w:firstRow="0" w:lastRow="0" w:firstColumn="0" w:lastColumn="0" w:oddVBand="0" w:evenVBand="0" w:oddHBand="1" w:evenHBand="0" w:firstRowFirstColumn="0" w:firstRowLastColumn="0" w:lastRowFirstColumn="0" w:lastRowLastColumn="0"/>
            </w:pPr>
            <w:r w:rsidRPr="005E0D58">
              <w:t xml:space="preserve">Improve how energy storage resources are </w:t>
            </w:r>
            <w:r w:rsidRPr="005E0D58">
              <w:br/>
              <w:t>incorporated into transmission planning studies.</w:t>
            </w:r>
          </w:p>
          <w:p w14:paraId="30F2A528" w14:textId="77777777" w:rsidR="0019025B" w:rsidRPr="005E0D58" w:rsidRDefault="0019025B" w:rsidP="0019025B">
            <w:pPr>
              <w:numPr>
                <w:ilvl w:val="0"/>
                <w:numId w:val="18"/>
              </w:numPr>
              <w:cnfStyle w:val="000000100000" w:firstRow="0" w:lastRow="0" w:firstColumn="0" w:lastColumn="0" w:oddVBand="0" w:evenVBand="0" w:oddHBand="1" w:evenHBand="0" w:firstRowFirstColumn="0" w:firstRowLastColumn="0" w:lastRowFirstColumn="0" w:lastRowLastColumn="0"/>
            </w:pPr>
            <w:r w:rsidRPr="005E0D58">
              <w:t xml:space="preserve">Develop a policy for long-duration storage </w:t>
            </w:r>
            <w:r w:rsidRPr="005E0D58">
              <w:br/>
              <w:t>in the SPP footprint.</w:t>
            </w:r>
          </w:p>
          <w:p w14:paraId="67B6AE2B"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6644A220" w14:textId="77777777" w:rsidR="0019025B" w:rsidRDefault="0019025B">
            <w:pPr>
              <w:cnfStyle w:val="000000100000" w:firstRow="0" w:lastRow="0" w:firstColumn="0" w:lastColumn="0" w:oddVBand="0" w:evenVBand="0" w:oddHBand="1" w:evenHBand="0" w:firstRowFirstColumn="0" w:firstRowLastColumn="0" w:lastRowFirstColumn="0" w:lastRowLastColumn="0"/>
            </w:pPr>
            <w:r>
              <w:t>SIR: 187 / 189 / 191 / 192 / 193 / 195</w:t>
            </w:r>
          </w:p>
          <w:p w14:paraId="720CA526" w14:textId="77777777" w:rsidR="0019025B" w:rsidRDefault="0019025B">
            <w:pPr>
              <w:cnfStyle w:val="000000100000" w:firstRow="0" w:lastRow="0" w:firstColumn="0" w:lastColumn="0" w:oddVBand="0" w:evenVBand="0" w:oddHBand="1" w:evenHBand="0" w:firstRowFirstColumn="0" w:firstRowLastColumn="0" w:lastRowFirstColumn="0" w:lastRowLastColumn="0"/>
            </w:pPr>
            <w:r>
              <w:t>(In Progress)</w:t>
            </w:r>
          </w:p>
        </w:tc>
      </w:tr>
      <w:tr w:rsidR="0019025B" w14:paraId="22D38135" w14:textId="77777777">
        <w:tc>
          <w:tcPr>
            <w:cnfStyle w:val="001000000000" w:firstRow="0" w:lastRow="0" w:firstColumn="1" w:lastColumn="0" w:oddVBand="0" w:evenVBand="0" w:oddHBand="0" w:evenHBand="0" w:firstRowFirstColumn="0" w:firstRowLastColumn="0" w:lastRowFirstColumn="0" w:lastRowLastColumn="0"/>
            <w:tcW w:w="3116" w:type="dxa"/>
          </w:tcPr>
          <w:p w14:paraId="34E28B63" w14:textId="77777777" w:rsidR="0019025B" w:rsidRDefault="0019025B">
            <w:r>
              <w:t>TR1: Expand Transmission Planning Scenarios</w:t>
            </w:r>
          </w:p>
        </w:tc>
        <w:tc>
          <w:tcPr>
            <w:tcW w:w="3117" w:type="dxa"/>
          </w:tcPr>
          <w:p w14:paraId="720A26C9" w14:textId="77777777" w:rsidR="0019025B" w:rsidRPr="00C30C89" w:rsidRDefault="0019025B" w:rsidP="0019025B">
            <w:pPr>
              <w:numPr>
                <w:ilvl w:val="0"/>
                <w:numId w:val="19"/>
              </w:numPr>
              <w:cnfStyle w:val="000000000000" w:firstRow="0" w:lastRow="0" w:firstColumn="0" w:lastColumn="0" w:oddVBand="0" w:evenVBand="0" w:oddHBand="0" w:evenHBand="0" w:firstRowFirstColumn="0" w:firstRowLastColumn="0" w:lastRowFirstColumn="0" w:lastRowLastColumn="0"/>
            </w:pPr>
            <w:r w:rsidRPr="00C30C89">
              <w:t xml:space="preserve">Revisit and assess tools and assumptions of </w:t>
            </w:r>
            <w:r w:rsidRPr="00C30C89">
              <w:br/>
              <w:t>reliability and economic studies.</w:t>
            </w:r>
          </w:p>
          <w:p w14:paraId="0A7ED459" w14:textId="77777777" w:rsidR="0019025B" w:rsidRPr="00C30C89" w:rsidRDefault="0019025B" w:rsidP="0019025B">
            <w:pPr>
              <w:numPr>
                <w:ilvl w:val="0"/>
                <w:numId w:val="19"/>
              </w:numPr>
              <w:cnfStyle w:val="000000000000" w:firstRow="0" w:lastRow="0" w:firstColumn="0" w:lastColumn="0" w:oddVBand="0" w:evenVBand="0" w:oddHBand="0" w:evenHBand="0" w:firstRowFirstColumn="0" w:firstRowLastColumn="0" w:lastRowFirstColumn="0" w:lastRowLastColumn="0"/>
            </w:pPr>
            <w:r w:rsidRPr="00C30C89">
              <w:lastRenderedPageBreak/>
              <w:t xml:space="preserve">Identify most important market drivers that </w:t>
            </w:r>
            <w:r w:rsidRPr="00C30C89">
              <w:br/>
              <w:t xml:space="preserve">can impact the reliability and economic </w:t>
            </w:r>
            <w:r w:rsidRPr="00C30C89">
              <w:br/>
              <w:t>metrics of the bulk power system.</w:t>
            </w:r>
          </w:p>
          <w:p w14:paraId="3EA52064" w14:textId="77777777" w:rsidR="0019025B" w:rsidRPr="00C30C89" w:rsidRDefault="0019025B" w:rsidP="0019025B">
            <w:pPr>
              <w:numPr>
                <w:ilvl w:val="0"/>
                <w:numId w:val="19"/>
              </w:numPr>
              <w:cnfStyle w:val="000000000000" w:firstRow="0" w:lastRow="0" w:firstColumn="0" w:lastColumn="0" w:oddVBand="0" w:evenVBand="0" w:oddHBand="0" w:evenHBand="0" w:firstRowFirstColumn="0" w:firstRowLastColumn="0" w:lastRowFirstColumn="0" w:lastRowLastColumn="0"/>
            </w:pPr>
            <w:r w:rsidRPr="00C30C89">
              <w:t xml:space="preserve">Structure necessary number of scenarios </w:t>
            </w:r>
            <w:r w:rsidRPr="00C30C89">
              <w:br/>
              <w:t xml:space="preserve">that can sufficiently determine the </w:t>
            </w:r>
            <w:r w:rsidRPr="00C30C89">
              <w:br/>
              <w:t xml:space="preserve">transmission needs based on changes in </w:t>
            </w:r>
            <w:r w:rsidRPr="00C30C89">
              <w:br/>
              <w:t>the market drivers.</w:t>
            </w:r>
          </w:p>
          <w:p w14:paraId="5FD86FCC"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0D45CC4A" w14:textId="77777777" w:rsidR="0019025B" w:rsidRDefault="0019025B">
            <w:pPr>
              <w:cnfStyle w:val="000000000000" w:firstRow="0" w:lastRow="0" w:firstColumn="0" w:lastColumn="0" w:oddVBand="0" w:evenVBand="0" w:oddHBand="0" w:evenHBand="0" w:firstRowFirstColumn="0" w:firstRowLastColumn="0" w:lastRowFirstColumn="0" w:lastRowLastColumn="0"/>
            </w:pPr>
            <w:r>
              <w:lastRenderedPageBreak/>
              <w:t>SIR: 140 / 144 / 188</w:t>
            </w:r>
          </w:p>
          <w:p w14:paraId="49BAEAEE" w14:textId="77777777" w:rsidR="0019025B" w:rsidRDefault="0019025B">
            <w:pPr>
              <w:cnfStyle w:val="000000000000" w:firstRow="0" w:lastRow="0" w:firstColumn="0" w:lastColumn="0" w:oddVBand="0" w:evenVBand="0" w:oddHBand="0" w:evenHBand="0" w:firstRowFirstColumn="0" w:firstRowLastColumn="0" w:lastRowFirstColumn="0" w:lastRowLastColumn="0"/>
            </w:pPr>
            <w:r>
              <w:t>(In Progress)</w:t>
            </w:r>
          </w:p>
        </w:tc>
      </w:tr>
      <w:tr w:rsidR="0019025B" w14:paraId="071205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109271" w14:textId="77777777" w:rsidR="0019025B" w:rsidRDefault="0019025B">
            <w:r>
              <w:t>TR6: Enhance Transmission Visibility and Control with Applicable Tools and Processes</w:t>
            </w:r>
          </w:p>
        </w:tc>
        <w:tc>
          <w:tcPr>
            <w:tcW w:w="3117" w:type="dxa"/>
          </w:tcPr>
          <w:p w14:paraId="41CEB7C4" w14:textId="77777777" w:rsidR="0019025B" w:rsidRPr="00C30C89" w:rsidRDefault="0019025B" w:rsidP="0019025B">
            <w:pPr>
              <w:numPr>
                <w:ilvl w:val="0"/>
                <w:numId w:val="20"/>
              </w:numPr>
              <w:cnfStyle w:val="000000100000" w:firstRow="0" w:lastRow="0" w:firstColumn="0" w:lastColumn="0" w:oddVBand="0" w:evenVBand="0" w:oddHBand="1" w:evenHBand="0" w:firstRowFirstColumn="0" w:firstRowLastColumn="0" w:lastRowFirstColumn="0" w:lastRowLastColumn="0"/>
            </w:pPr>
            <w:r w:rsidRPr="00C30C89">
              <w:t xml:space="preserve">Develop metrics for visibility and control </w:t>
            </w:r>
            <w:r w:rsidRPr="00C30C89">
              <w:br/>
              <w:t>of transmission infrastructure.</w:t>
            </w:r>
          </w:p>
          <w:p w14:paraId="326CB551" w14:textId="77777777" w:rsidR="0019025B" w:rsidRPr="00C30C89" w:rsidRDefault="0019025B" w:rsidP="0019025B">
            <w:pPr>
              <w:numPr>
                <w:ilvl w:val="0"/>
                <w:numId w:val="20"/>
              </w:numPr>
              <w:cnfStyle w:val="000000100000" w:firstRow="0" w:lastRow="0" w:firstColumn="0" w:lastColumn="0" w:oddVBand="0" w:evenVBand="0" w:oddHBand="1" w:evenHBand="0" w:firstRowFirstColumn="0" w:firstRowLastColumn="0" w:lastRowFirstColumn="0" w:lastRowLastColumn="0"/>
            </w:pPr>
            <w:r w:rsidRPr="00C30C89">
              <w:t>Assess current tools and methods.</w:t>
            </w:r>
          </w:p>
          <w:p w14:paraId="0F74B979" w14:textId="77777777" w:rsidR="0019025B" w:rsidRPr="00C30C89" w:rsidRDefault="0019025B" w:rsidP="0019025B">
            <w:pPr>
              <w:numPr>
                <w:ilvl w:val="0"/>
                <w:numId w:val="20"/>
              </w:numPr>
              <w:cnfStyle w:val="000000100000" w:firstRow="0" w:lastRow="0" w:firstColumn="0" w:lastColumn="0" w:oddVBand="0" w:evenVBand="0" w:oddHBand="1" w:evenHBand="0" w:firstRowFirstColumn="0" w:firstRowLastColumn="0" w:lastRowFirstColumn="0" w:lastRowLastColumn="0"/>
            </w:pPr>
            <w:r w:rsidRPr="00C30C89">
              <w:t xml:space="preserve">Make necessary changes to improve </w:t>
            </w:r>
            <w:r w:rsidRPr="00C30C89">
              <w:br/>
              <w:t>transmission visibility and control.</w:t>
            </w:r>
          </w:p>
          <w:p w14:paraId="0BFC10A8"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6017AB43" w14:textId="77777777" w:rsidR="0019025B" w:rsidRDefault="0019025B">
            <w:pPr>
              <w:cnfStyle w:val="000000100000" w:firstRow="0" w:lastRow="0" w:firstColumn="0" w:lastColumn="0" w:oddVBand="0" w:evenVBand="0" w:oddHBand="1" w:evenHBand="0" w:firstRowFirstColumn="0" w:firstRowLastColumn="0" w:lastRowFirstColumn="0" w:lastRowLastColumn="0"/>
            </w:pPr>
            <w:r>
              <w:t>SIR: 11 / 62 (In Progress)</w:t>
            </w:r>
          </w:p>
        </w:tc>
      </w:tr>
      <w:tr w:rsidR="0019025B" w14:paraId="716A5A20" w14:textId="77777777">
        <w:tc>
          <w:tcPr>
            <w:cnfStyle w:val="001000000000" w:firstRow="0" w:lastRow="0" w:firstColumn="1" w:lastColumn="0" w:oddVBand="0" w:evenVBand="0" w:oddHBand="0" w:evenHBand="0" w:firstRowFirstColumn="0" w:firstRowLastColumn="0" w:lastRowFirstColumn="0" w:lastRowLastColumn="0"/>
            <w:tcW w:w="3116" w:type="dxa"/>
          </w:tcPr>
          <w:p w14:paraId="597B2899" w14:textId="77777777" w:rsidR="0019025B" w:rsidRDefault="0019025B">
            <w:r>
              <w:t>DR4: Establish Visibility for Distributed Energy Resources</w:t>
            </w:r>
          </w:p>
        </w:tc>
        <w:tc>
          <w:tcPr>
            <w:tcW w:w="3117" w:type="dxa"/>
          </w:tcPr>
          <w:p w14:paraId="64D14FF2" w14:textId="77777777" w:rsidR="0019025B" w:rsidRPr="00C97D14" w:rsidRDefault="0019025B" w:rsidP="0019025B">
            <w:pPr>
              <w:numPr>
                <w:ilvl w:val="0"/>
                <w:numId w:val="21"/>
              </w:numPr>
              <w:cnfStyle w:val="000000000000" w:firstRow="0" w:lastRow="0" w:firstColumn="0" w:lastColumn="0" w:oddVBand="0" w:evenVBand="0" w:oddHBand="0" w:evenHBand="0" w:firstRowFirstColumn="0" w:firstRowLastColumn="0" w:lastRowFirstColumn="0" w:lastRowLastColumn="0"/>
            </w:pPr>
            <w:r w:rsidRPr="00C97D14">
              <w:t xml:space="preserve">Determine ways that SPP can leverage </w:t>
            </w:r>
            <w:r w:rsidRPr="00C97D14">
              <w:br/>
              <w:t xml:space="preserve">existing stakeholder groups or regulatory </w:t>
            </w:r>
            <w:r w:rsidRPr="00C97D14">
              <w:br/>
              <w:t xml:space="preserve">authorities to access the DER information </w:t>
            </w:r>
            <w:r w:rsidRPr="00C97D14">
              <w:br/>
              <w:t>in the distribution system.</w:t>
            </w:r>
          </w:p>
          <w:p w14:paraId="4CF4D300"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674F89E7" w14:textId="77777777" w:rsidR="0019025B" w:rsidRDefault="0019025B">
            <w:pPr>
              <w:cnfStyle w:val="000000000000" w:firstRow="0" w:lastRow="0" w:firstColumn="0" w:lastColumn="0" w:oddVBand="0" w:evenVBand="0" w:oddHBand="0" w:evenHBand="0" w:firstRowFirstColumn="0" w:firstRowLastColumn="0" w:lastRowFirstColumn="0" w:lastRowLastColumn="0"/>
            </w:pPr>
            <w:r>
              <w:t>SIR: 8 (Not Started)</w:t>
            </w:r>
          </w:p>
        </w:tc>
      </w:tr>
      <w:tr w:rsidR="0019025B" w14:paraId="643456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107D75" w14:textId="77777777" w:rsidR="0019025B" w:rsidRDefault="0019025B">
            <w:r>
              <w:lastRenderedPageBreak/>
              <w:t>DR5: Facilitate the Support of Dispatchable Load</w:t>
            </w:r>
          </w:p>
        </w:tc>
        <w:tc>
          <w:tcPr>
            <w:tcW w:w="3117" w:type="dxa"/>
          </w:tcPr>
          <w:p w14:paraId="4BA9A07C" w14:textId="77777777" w:rsidR="0019025B" w:rsidRPr="00C97D14" w:rsidRDefault="0019025B" w:rsidP="0019025B">
            <w:pPr>
              <w:numPr>
                <w:ilvl w:val="0"/>
                <w:numId w:val="22"/>
              </w:numPr>
              <w:cnfStyle w:val="000000100000" w:firstRow="0" w:lastRow="0" w:firstColumn="0" w:lastColumn="0" w:oddVBand="0" w:evenVBand="0" w:oddHBand="1" w:evenHBand="0" w:firstRowFirstColumn="0" w:firstRowLastColumn="0" w:lastRowFirstColumn="0" w:lastRowLastColumn="0"/>
            </w:pPr>
            <w:r w:rsidRPr="00C97D14">
              <w:t xml:space="preserve">Study the potential size of the dispatchable </w:t>
            </w:r>
            <w:r w:rsidRPr="00C97D14">
              <w:br/>
              <w:t xml:space="preserve">load in SPP region over short-term and </w:t>
            </w:r>
            <w:r w:rsidRPr="00C97D14">
              <w:br/>
              <w:t>long-term.</w:t>
            </w:r>
          </w:p>
          <w:p w14:paraId="457E8A9D" w14:textId="77777777" w:rsidR="0019025B" w:rsidRPr="00C97D14" w:rsidRDefault="0019025B" w:rsidP="0019025B">
            <w:pPr>
              <w:numPr>
                <w:ilvl w:val="0"/>
                <w:numId w:val="22"/>
              </w:numPr>
              <w:cnfStyle w:val="000000100000" w:firstRow="0" w:lastRow="0" w:firstColumn="0" w:lastColumn="0" w:oddVBand="0" w:evenVBand="0" w:oddHBand="1" w:evenHBand="0" w:firstRowFirstColumn="0" w:firstRowLastColumn="0" w:lastRowFirstColumn="0" w:lastRowLastColumn="0"/>
            </w:pPr>
            <w:r w:rsidRPr="00C97D14">
              <w:t>Determine the requirements of utilizing dispatchable load in the region.</w:t>
            </w:r>
          </w:p>
          <w:p w14:paraId="22989383" w14:textId="77777777" w:rsidR="0019025B" w:rsidRPr="00C97D14" w:rsidRDefault="0019025B" w:rsidP="0019025B">
            <w:pPr>
              <w:numPr>
                <w:ilvl w:val="0"/>
                <w:numId w:val="22"/>
              </w:numPr>
              <w:cnfStyle w:val="000000100000" w:firstRow="0" w:lastRow="0" w:firstColumn="0" w:lastColumn="0" w:oddVBand="0" w:evenVBand="0" w:oddHBand="1" w:evenHBand="0" w:firstRowFirstColumn="0" w:firstRowLastColumn="0" w:lastRowFirstColumn="0" w:lastRowLastColumn="0"/>
            </w:pPr>
            <w:r w:rsidRPr="00C97D14">
              <w:t xml:space="preserve">Report the necessary requirements for </w:t>
            </w:r>
            <w:r w:rsidRPr="00C97D14">
              <w:br/>
              <w:t xml:space="preserve">support of dispatchable load to relevant </w:t>
            </w:r>
            <w:r w:rsidRPr="00C97D14">
              <w:br/>
              <w:t xml:space="preserve">stakeholder groups. </w:t>
            </w:r>
          </w:p>
          <w:p w14:paraId="525FC056"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3E62827A" w14:textId="257656E6" w:rsidR="0019025B" w:rsidRDefault="0019025B">
            <w:pPr>
              <w:cnfStyle w:val="000000100000" w:firstRow="0" w:lastRow="0" w:firstColumn="0" w:lastColumn="0" w:oddVBand="0" w:evenVBand="0" w:oddHBand="1" w:evenHBand="0" w:firstRowFirstColumn="0" w:firstRowLastColumn="0" w:lastRowFirstColumn="0" w:lastRowLastColumn="0"/>
            </w:pPr>
            <w:r>
              <w:t>SIR: 8 (Not Started)</w:t>
            </w:r>
          </w:p>
        </w:tc>
      </w:tr>
      <w:tr w:rsidR="0019025B" w14:paraId="442B464B" w14:textId="77777777">
        <w:tc>
          <w:tcPr>
            <w:cnfStyle w:val="001000000000" w:firstRow="0" w:lastRow="0" w:firstColumn="1" w:lastColumn="0" w:oddVBand="0" w:evenVBand="0" w:oddHBand="0" w:evenHBand="0" w:firstRowFirstColumn="0" w:firstRowLastColumn="0" w:lastRowFirstColumn="0" w:lastRowLastColumn="0"/>
            <w:tcW w:w="3116" w:type="dxa"/>
          </w:tcPr>
          <w:p w14:paraId="46FA0B7D" w14:textId="77777777" w:rsidR="0019025B" w:rsidRDefault="0019025B">
            <w:r>
              <w:t>DR6: Quantify the Benefits and Limits of Demand Response</w:t>
            </w:r>
          </w:p>
        </w:tc>
        <w:tc>
          <w:tcPr>
            <w:tcW w:w="3117" w:type="dxa"/>
          </w:tcPr>
          <w:p w14:paraId="0197A39D" w14:textId="77777777" w:rsidR="0019025B" w:rsidRPr="00610134" w:rsidRDefault="0019025B" w:rsidP="0019025B">
            <w:pPr>
              <w:numPr>
                <w:ilvl w:val="0"/>
                <w:numId w:val="23"/>
              </w:numPr>
              <w:cnfStyle w:val="000000000000" w:firstRow="0" w:lastRow="0" w:firstColumn="0" w:lastColumn="0" w:oddVBand="0" w:evenVBand="0" w:oddHBand="0" w:evenHBand="0" w:firstRowFirstColumn="0" w:firstRowLastColumn="0" w:lastRowFirstColumn="0" w:lastRowLastColumn="0"/>
            </w:pPr>
            <w:r w:rsidRPr="00610134">
              <w:t xml:space="preserve">Study the potential size of demand </w:t>
            </w:r>
            <w:r w:rsidRPr="00610134">
              <w:br/>
              <w:t>response in the SPP region.</w:t>
            </w:r>
          </w:p>
          <w:p w14:paraId="316C7269" w14:textId="77777777" w:rsidR="0019025B" w:rsidRPr="00610134" w:rsidRDefault="0019025B" w:rsidP="0019025B">
            <w:pPr>
              <w:numPr>
                <w:ilvl w:val="0"/>
                <w:numId w:val="23"/>
              </w:numPr>
              <w:cnfStyle w:val="000000000000" w:firstRow="0" w:lastRow="0" w:firstColumn="0" w:lastColumn="0" w:oddVBand="0" w:evenVBand="0" w:oddHBand="0" w:evenHBand="0" w:firstRowFirstColumn="0" w:firstRowLastColumn="0" w:lastRowFirstColumn="0" w:lastRowLastColumn="0"/>
            </w:pPr>
            <w:r w:rsidRPr="00610134">
              <w:t xml:space="preserve">Determine the planning and operational requirements of utilizing demand response </w:t>
            </w:r>
            <w:r w:rsidRPr="00610134">
              <w:br/>
              <w:t>relative to its potential size.</w:t>
            </w:r>
          </w:p>
          <w:p w14:paraId="286DFEB6" w14:textId="77777777" w:rsidR="0019025B" w:rsidRPr="00610134" w:rsidRDefault="0019025B" w:rsidP="0019025B">
            <w:pPr>
              <w:numPr>
                <w:ilvl w:val="0"/>
                <w:numId w:val="23"/>
              </w:numPr>
              <w:cnfStyle w:val="000000000000" w:firstRow="0" w:lastRow="0" w:firstColumn="0" w:lastColumn="0" w:oddVBand="0" w:evenVBand="0" w:oddHBand="0" w:evenHBand="0" w:firstRowFirstColumn="0" w:firstRowLastColumn="0" w:lastRowFirstColumn="0" w:lastRowLastColumn="0"/>
            </w:pPr>
            <w:r w:rsidRPr="00610134">
              <w:t xml:space="preserve">Determine methods that can be used to </w:t>
            </w:r>
            <w:r w:rsidRPr="00610134">
              <w:br/>
              <w:t xml:space="preserve">estimate the benefits relative to the </w:t>
            </w:r>
            <w:r w:rsidRPr="00610134">
              <w:br/>
              <w:t>potential size of demand response.</w:t>
            </w:r>
          </w:p>
          <w:p w14:paraId="1ED165EC"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623FC9BD" w14:textId="77777777" w:rsidR="0019025B" w:rsidRDefault="0019025B">
            <w:pPr>
              <w:cnfStyle w:val="000000000000" w:firstRow="0" w:lastRow="0" w:firstColumn="0" w:lastColumn="0" w:oddVBand="0" w:evenVBand="0" w:oddHBand="0" w:evenHBand="0" w:firstRowFirstColumn="0" w:firstRowLastColumn="0" w:lastRowFirstColumn="0" w:lastRowLastColumn="0"/>
            </w:pPr>
            <w:r>
              <w:t>SIR: 371 / 377 / 378 (Not Started)</w:t>
            </w:r>
          </w:p>
        </w:tc>
      </w:tr>
      <w:tr w:rsidR="0019025B" w14:paraId="60CA0F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B347952" w14:textId="77777777" w:rsidR="0019025B" w:rsidRDefault="0019025B">
            <w:r>
              <w:lastRenderedPageBreak/>
              <w:t>DR7: Build Demand Response Enabling Infrastructure</w:t>
            </w:r>
          </w:p>
        </w:tc>
        <w:tc>
          <w:tcPr>
            <w:tcW w:w="3117" w:type="dxa"/>
          </w:tcPr>
          <w:p w14:paraId="371F22F8" w14:textId="77777777" w:rsidR="0019025B" w:rsidRPr="00EE0285" w:rsidRDefault="0019025B" w:rsidP="0019025B">
            <w:pPr>
              <w:numPr>
                <w:ilvl w:val="0"/>
                <w:numId w:val="24"/>
              </w:numPr>
              <w:cnfStyle w:val="000000100000" w:firstRow="0" w:lastRow="0" w:firstColumn="0" w:lastColumn="0" w:oddVBand="0" w:evenVBand="0" w:oddHBand="1" w:evenHBand="0" w:firstRowFirstColumn="0" w:firstRowLastColumn="0" w:lastRowFirstColumn="0" w:lastRowLastColumn="0"/>
            </w:pPr>
            <w:r w:rsidRPr="00EE0285">
              <w:t xml:space="preserve">Study the potential size of demand response </w:t>
            </w:r>
            <w:r w:rsidRPr="00EE0285">
              <w:br/>
              <w:t>in the SPP region.</w:t>
            </w:r>
          </w:p>
          <w:p w14:paraId="408D5850" w14:textId="77777777" w:rsidR="0019025B" w:rsidRPr="00EE0285" w:rsidRDefault="0019025B" w:rsidP="0019025B">
            <w:pPr>
              <w:numPr>
                <w:ilvl w:val="0"/>
                <w:numId w:val="24"/>
              </w:numPr>
              <w:cnfStyle w:val="000000100000" w:firstRow="0" w:lastRow="0" w:firstColumn="0" w:lastColumn="0" w:oddVBand="0" w:evenVBand="0" w:oddHBand="1" w:evenHBand="0" w:firstRowFirstColumn="0" w:firstRowLastColumn="0" w:lastRowFirstColumn="0" w:lastRowLastColumn="0"/>
            </w:pPr>
            <w:r w:rsidRPr="00EE0285">
              <w:t xml:space="preserve">Determine the planning and operational requirements of utilizing demand response </w:t>
            </w:r>
            <w:r w:rsidRPr="00EE0285">
              <w:br/>
              <w:t>relative to its potential size.</w:t>
            </w:r>
          </w:p>
          <w:p w14:paraId="0981D533" w14:textId="77777777" w:rsidR="0019025B" w:rsidRPr="00EE0285" w:rsidRDefault="0019025B" w:rsidP="0019025B">
            <w:pPr>
              <w:numPr>
                <w:ilvl w:val="0"/>
                <w:numId w:val="24"/>
              </w:numPr>
              <w:cnfStyle w:val="000000100000" w:firstRow="0" w:lastRow="0" w:firstColumn="0" w:lastColumn="0" w:oddVBand="0" w:evenVBand="0" w:oddHBand="1" w:evenHBand="0" w:firstRowFirstColumn="0" w:firstRowLastColumn="0" w:lastRowFirstColumn="0" w:lastRowLastColumn="0"/>
            </w:pPr>
            <w:r w:rsidRPr="00EE0285">
              <w:t xml:space="preserve">Determine the required enabling </w:t>
            </w:r>
            <w:r w:rsidRPr="00EE0285">
              <w:br/>
              <w:t xml:space="preserve">infrastructure relative to potential size of </w:t>
            </w:r>
            <w:r w:rsidRPr="00EE0285">
              <w:br/>
              <w:t>demand response in the SPP region.</w:t>
            </w:r>
          </w:p>
          <w:p w14:paraId="54DCBABA"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32F44A10" w14:textId="77777777" w:rsidR="0019025B" w:rsidRDefault="0019025B">
            <w:pPr>
              <w:cnfStyle w:val="000000100000" w:firstRow="0" w:lastRow="0" w:firstColumn="0" w:lastColumn="0" w:oddVBand="0" w:evenVBand="0" w:oddHBand="1" w:evenHBand="0" w:firstRowFirstColumn="0" w:firstRowLastColumn="0" w:lastRowFirstColumn="0" w:lastRowLastColumn="0"/>
            </w:pPr>
            <w:r>
              <w:t>SIR: 377 / 378 (Not Started)</w:t>
            </w:r>
          </w:p>
        </w:tc>
      </w:tr>
      <w:tr w:rsidR="0019025B" w14:paraId="43FC1E63" w14:textId="77777777">
        <w:tc>
          <w:tcPr>
            <w:cnfStyle w:val="001000000000" w:firstRow="0" w:lastRow="0" w:firstColumn="1" w:lastColumn="0" w:oddVBand="0" w:evenVBand="0" w:oddHBand="0" w:evenHBand="0" w:firstRowFirstColumn="0" w:firstRowLastColumn="0" w:lastRowFirstColumn="0" w:lastRowLastColumn="0"/>
            <w:tcW w:w="3116" w:type="dxa"/>
          </w:tcPr>
          <w:p w14:paraId="42B3D549" w14:textId="77777777" w:rsidR="0019025B" w:rsidRDefault="0019025B">
            <w:r>
              <w:t>IC1: Transmission Expansion Coordination and Joint Action</w:t>
            </w:r>
          </w:p>
        </w:tc>
        <w:tc>
          <w:tcPr>
            <w:tcW w:w="3117" w:type="dxa"/>
          </w:tcPr>
          <w:p w14:paraId="080A1901" w14:textId="77777777" w:rsidR="0019025B" w:rsidRPr="004C0766" w:rsidRDefault="0019025B" w:rsidP="0019025B">
            <w:pPr>
              <w:numPr>
                <w:ilvl w:val="0"/>
                <w:numId w:val="25"/>
              </w:numPr>
              <w:cnfStyle w:val="000000000000" w:firstRow="0" w:lastRow="0" w:firstColumn="0" w:lastColumn="0" w:oddVBand="0" w:evenVBand="0" w:oddHBand="0" w:evenHBand="0" w:firstRowFirstColumn="0" w:firstRowLastColumn="0" w:lastRowFirstColumn="0" w:lastRowLastColumn="0"/>
            </w:pPr>
            <w:r w:rsidRPr="004C0766">
              <w:t xml:space="preserve">Continue participation in industry groups </w:t>
            </w:r>
            <w:r w:rsidRPr="004C0766">
              <w:br/>
              <w:t xml:space="preserve">focused on transmission expansion activities </w:t>
            </w:r>
            <w:r w:rsidRPr="004C0766">
              <w:br/>
              <w:t>and implement best practices in SPP processes.</w:t>
            </w:r>
          </w:p>
          <w:p w14:paraId="066DF9C8" w14:textId="77777777" w:rsidR="0019025B" w:rsidRPr="004C0766" w:rsidRDefault="0019025B" w:rsidP="0019025B">
            <w:pPr>
              <w:numPr>
                <w:ilvl w:val="0"/>
                <w:numId w:val="25"/>
              </w:numPr>
              <w:cnfStyle w:val="000000000000" w:firstRow="0" w:lastRow="0" w:firstColumn="0" w:lastColumn="0" w:oddVBand="0" w:evenVBand="0" w:oddHBand="0" w:evenHBand="0" w:firstRowFirstColumn="0" w:firstRowLastColumn="0" w:lastRowFirstColumn="0" w:lastRowLastColumn="0"/>
            </w:pPr>
            <w:r w:rsidRPr="004C0766">
              <w:t xml:space="preserve">Determine what enhancements can be added </w:t>
            </w:r>
            <w:r w:rsidRPr="004C0766">
              <w:br/>
              <w:t>to coordinated system planning studies/affected system planning studies.</w:t>
            </w:r>
          </w:p>
          <w:p w14:paraId="44142CE5" w14:textId="77777777" w:rsidR="0019025B" w:rsidRPr="004C0766" w:rsidRDefault="0019025B" w:rsidP="0019025B">
            <w:pPr>
              <w:numPr>
                <w:ilvl w:val="0"/>
                <w:numId w:val="25"/>
              </w:numPr>
              <w:cnfStyle w:val="000000000000" w:firstRow="0" w:lastRow="0" w:firstColumn="0" w:lastColumn="0" w:oddVBand="0" w:evenVBand="0" w:oddHBand="0" w:evenHBand="0" w:firstRowFirstColumn="0" w:firstRowLastColumn="0" w:lastRowFirstColumn="0" w:lastRowLastColumn="0"/>
            </w:pPr>
            <w:r w:rsidRPr="004C0766">
              <w:t xml:space="preserve">Identify what additional studies may be </w:t>
            </w:r>
            <w:r w:rsidRPr="004C0766">
              <w:br/>
              <w:t xml:space="preserve">needed focused on </w:t>
            </w:r>
            <w:r w:rsidRPr="004C0766">
              <w:lastRenderedPageBreak/>
              <w:t>the Western Interconnect.</w:t>
            </w:r>
          </w:p>
          <w:p w14:paraId="550B32B8" w14:textId="77777777" w:rsidR="0019025B" w:rsidRPr="004C0766" w:rsidRDefault="0019025B" w:rsidP="0019025B">
            <w:pPr>
              <w:numPr>
                <w:ilvl w:val="0"/>
                <w:numId w:val="25"/>
              </w:numPr>
              <w:cnfStyle w:val="000000000000" w:firstRow="0" w:lastRow="0" w:firstColumn="0" w:lastColumn="0" w:oddVBand="0" w:evenVBand="0" w:oddHBand="0" w:evenHBand="0" w:firstRowFirstColumn="0" w:firstRowLastColumn="0" w:lastRowFirstColumn="0" w:lastRowLastColumn="0"/>
            </w:pPr>
            <w:r w:rsidRPr="004C0766">
              <w:t xml:space="preserve">Identify solutions to address transfer </w:t>
            </w:r>
            <w:r w:rsidRPr="004C0766">
              <w:br/>
              <w:t>capability issues.</w:t>
            </w:r>
          </w:p>
          <w:p w14:paraId="29A59B68"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5147A119" w14:textId="497BA871" w:rsidR="0019025B" w:rsidRDefault="0019025B">
            <w:pPr>
              <w:cnfStyle w:val="000000000000" w:firstRow="0" w:lastRow="0" w:firstColumn="0" w:lastColumn="0" w:oddVBand="0" w:evenVBand="0" w:oddHBand="0" w:evenHBand="0" w:firstRowFirstColumn="0" w:firstRowLastColumn="0" w:lastRowFirstColumn="0" w:lastRowLastColumn="0"/>
            </w:pPr>
            <w:r>
              <w:lastRenderedPageBreak/>
              <w:t>SIR: 660 (Not Started)</w:t>
            </w:r>
          </w:p>
        </w:tc>
      </w:tr>
      <w:tr w:rsidR="0019025B" w14:paraId="1F997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26A1CB" w14:textId="77777777" w:rsidR="0019025B" w:rsidRDefault="0019025B">
            <w:r>
              <w:t>IC4: Advocate for an Adequate Fuel Pipeline Infrastructure</w:t>
            </w:r>
          </w:p>
        </w:tc>
        <w:tc>
          <w:tcPr>
            <w:tcW w:w="3117" w:type="dxa"/>
          </w:tcPr>
          <w:p w14:paraId="7719BCD0" w14:textId="77777777" w:rsidR="0019025B" w:rsidRPr="004C0766" w:rsidRDefault="0019025B" w:rsidP="0019025B">
            <w:pPr>
              <w:numPr>
                <w:ilvl w:val="0"/>
                <w:numId w:val="26"/>
              </w:numPr>
              <w:cnfStyle w:val="000000100000" w:firstRow="0" w:lastRow="0" w:firstColumn="0" w:lastColumn="0" w:oddVBand="0" w:evenVBand="0" w:oddHBand="1" w:evenHBand="0" w:firstRowFirstColumn="0" w:firstRowLastColumn="0" w:lastRowFirstColumn="0" w:lastRowLastColumn="0"/>
            </w:pPr>
            <w:r w:rsidRPr="004C0766">
              <w:t xml:space="preserve">Complete all phases of the FERNS study </w:t>
            </w:r>
            <w:r w:rsidRPr="004C0766">
              <w:br/>
              <w:t xml:space="preserve">and determine next steps for </w:t>
            </w:r>
            <w:r w:rsidRPr="004C0766">
              <w:br/>
              <w:t>fuel pipeline advocacy.</w:t>
            </w:r>
          </w:p>
          <w:p w14:paraId="316D7020" w14:textId="77777777" w:rsidR="0019025B" w:rsidRPr="004C0766" w:rsidRDefault="0019025B" w:rsidP="0019025B">
            <w:pPr>
              <w:numPr>
                <w:ilvl w:val="0"/>
                <w:numId w:val="26"/>
              </w:numPr>
              <w:cnfStyle w:val="000000100000" w:firstRow="0" w:lastRow="0" w:firstColumn="0" w:lastColumn="0" w:oddVBand="0" w:evenVBand="0" w:oddHBand="1" w:evenHBand="0" w:firstRowFirstColumn="0" w:firstRowLastColumn="0" w:lastRowFirstColumn="0" w:lastRowLastColumn="0"/>
            </w:pPr>
            <w:r w:rsidRPr="004C0766">
              <w:t xml:space="preserve">Participate in the DOE fuel availability </w:t>
            </w:r>
            <w:r w:rsidRPr="004C0766">
              <w:br/>
              <w:t xml:space="preserve">study and determine impacts for </w:t>
            </w:r>
            <w:r w:rsidRPr="004C0766">
              <w:br/>
              <w:t>SPP region.</w:t>
            </w:r>
          </w:p>
          <w:p w14:paraId="4E733924" w14:textId="77777777" w:rsidR="0019025B" w:rsidRPr="004C0766" w:rsidRDefault="0019025B" w:rsidP="0019025B">
            <w:pPr>
              <w:numPr>
                <w:ilvl w:val="0"/>
                <w:numId w:val="26"/>
              </w:numPr>
              <w:cnfStyle w:val="000000100000" w:firstRow="0" w:lastRow="0" w:firstColumn="0" w:lastColumn="0" w:oddVBand="0" w:evenVBand="0" w:oddHBand="1" w:evenHBand="0" w:firstRowFirstColumn="0" w:firstRowLastColumn="0" w:lastRowFirstColumn="0" w:lastRowLastColumn="0"/>
            </w:pPr>
            <w:r w:rsidRPr="004C0766">
              <w:t xml:space="preserve">Receive update from REAL team on </w:t>
            </w:r>
            <w:r w:rsidRPr="004C0766">
              <w:br/>
              <w:t>fuel assurance efforts.</w:t>
            </w:r>
          </w:p>
          <w:p w14:paraId="3563F8CA" w14:textId="77777777" w:rsidR="0019025B" w:rsidRDefault="0019025B">
            <w:pPr>
              <w:cnfStyle w:val="000000100000" w:firstRow="0" w:lastRow="0" w:firstColumn="0" w:lastColumn="0" w:oddVBand="0" w:evenVBand="0" w:oddHBand="1" w:evenHBand="0" w:firstRowFirstColumn="0" w:firstRowLastColumn="0" w:lastRowFirstColumn="0" w:lastRowLastColumn="0"/>
            </w:pPr>
          </w:p>
        </w:tc>
        <w:tc>
          <w:tcPr>
            <w:tcW w:w="3117" w:type="dxa"/>
          </w:tcPr>
          <w:p w14:paraId="574C27A3" w14:textId="6F8C6731" w:rsidR="0019025B" w:rsidRDefault="0019025B">
            <w:pPr>
              <w:cnfStyle w:val="000000100000" w:firstRow="0" w:lastRow="0" w:firstColumn="0" w:lastColumn="0" w:oddVBand="0" w:evenVBand="0" w:oddHBand="1" w:evenHBand="0" w:firstRowFirstColumn="0" w:firstRowLastColumn="0" w:lastRowFirstColumn="0" w:lastRowLastColumn="0"/>
            </w:pPr>
            <w:r>
              <w:t>SIR: 205 / 208 (In Progress)</w:t>
            </w:r>
          </w:p>
        </w:tc>
      </w:tr>
      <w:tr w:rsidR="0019025B" w14:paraId="48FECC13" w14:textId="77777777">
        <w:tc>
          <w:tcPr>
            <w:cnfStyle w:val="001000000000" w:firstRow="0" w:lastRow="0" w:firstColumn="1" w:lastColumn="0" w:oddVBand="0" w:evenVBand="0" w:oddHBand="0" w:evenHBand="0" w:firstRowFirstColumn="0" w:firstRowLastColumn="0" w:lastRowFirstColumn="0" w:lastRowLastColumn="0"/>
            <w:tcW w:w="3116" w:type="dxa"/>
          </w:tcPr>
          <w:p w14:paraId="5CC1F45E" w14:textId="77777777" w:rsidR="0019025B" w:rsidRDefault="0019025B">
            <w:r>
              <w:t>IC5: Participate and Collaborate with Standards Development</w:t>
            </w:r>
          </w:p>
        </w:tc>
        <w:tc>
          <w:tcPr>
            <w:tcW w:w="3117" w:type="dxa"/>
          </w:tcPr>
          <w:p w14:paraId="17C8AD8A" w14:textId="77777777" w:rsidR="0019025B" w:rsidRPr="00C75B8E" w:rsidRDefault="0019025B" w:rsidP="0019025B">
            <w:pPr>
              <w:numPr>
                <w:ilvl w:val="0"/>
                <w:numId w:val="27"/>
              </w:numPr>
              <w:cnfStyle w:val="000000000000" w:firstRow="0" w:lastRow="0" w:firstColumn="0" w:lastColumn="0" w:oddVBand="0" w:evenVBand="0" w:oddHBand="0" w:evenHBand="0" w:firstRowFirstColumn="0" w:firstRowLastColumn="0" w:lastRowFirstColumn="0" w:lastRowLastColumn="0"/>
            </w:pPr>
            <w:r w:rsidRPr="00C75B8E">
              <w:t xml:space="preserve">Continue participation with NERC technical </w:t>
            </w:r>
            <w:r w:rsidRPr="00C75B8E">
              <w:br/>
              <w:t xml:space="preserve">groups focused on Inverter Based Resources </w:t>
            </w:r>
            <w:r w:rsidRPr="00C75B8E">
              <w:br/>
              <w:t>and implement outcomes in SPP processes.</w:t>
            </w:r>
          </w:p>
          <w:p w14:paraId="08B6567C" w14:textId="77777777" w:rsidR="0019025B" w:rsidRPr="00C75B8E" w:rsidRDefault="0019025B" w:rsidP="0019025B">
            <w:pPr>
              <w:numPr>
                <w:ilvl w:val="0"/>
                <w:numId w:val="27"/>
              </w:numPr>
              <w:cnfStyle w:val="000000000000" w:firstRow="0" w:lastRow="0" w:firstColumn="0" w:lastColumn="0" w:oddVBand="0" w:evenVBand="0" w:oddHBand="0" w:evenHBand="0" w:firstRowFirstColumn="0" w:firstRowLastColumn="0" w:lastRowFirstColumn="0" w:lastRowLastColumn="0"/>
            </w:pPr>
            <w:r w:rsidRPr="00C75B8E">
              <w:t>Continue participation with NERC reliability standards drafting projects.</w:t>
            </w:r>
          </w:p>
          <w:p w14:paraId="5620943C" w14:textId="77777777" w:rsidR="0019025B" w:rsidRDefault="0019025B">
            <w:pPr>
              <w:cnfStyle w:val="000000000000" w:firstRow="0" w:lastRow="0" w:firstColumn="0" w:lastColumn="0" w:oddVBand="0" w:evenVBand="0" w:oddHBand="0" w:evenHBand="0" w:firstRowFirstColumn="0" w:firstRowLastColumn="0" w:lastRowFirstColumn="0" w:lastRowLastColumn="0"/>
            </w:pPr>
          </w:p>
        </w:tc>
        <w:tc>
          <w:tcPr>
            <w:tcW w:w="3117" w:type="dxa"/>
          </w:tcPr>
          <w:p w14:paraId="3AE39CAF" w14:textId="77777777" w:rsidR="0019025B" w:rsidRDefault="0019025B">
            <w:pPr>
              <w:cnfStyle w:val="000000000000" w:firstRow="0" w:lastRow="0" w:firstColumn="0" w:lastColumn="0" w:oddVBand="0" w:evenVBand="0" w:oddHBand="0" w:evenHBand="0" w:firstRowFirstColumn="0" w:firstRowLastColumn="0" w:lastRowFirstColumn="0" w:lastRowLastColumn="0"/>
            </w:pPr>
            <w:r>
              <w:t>SIR: 208 / 209 (In Progress)</w:t>
            </w:r>
          </w:p>
        </w:tc>
      </w:tr>
    </w:tbl>
    <w:p w14:paraId="71E7E152" w14:textId="77777777" w:rsidR="0019025B" w:rsidRPr="00A514E5" w:rsidRDefault="0019025B" w:rsidP="0019025B"/>
    <w:p w14:paraId="67BC009F" w14:textId="77777777" w:rsidR="0019025B" w:rsidRPr="00595A5C" w:rsidRDefault="0019025B" w:rsidP="0019025B">
      <w:pPr>
        <w:pStyle w:val="Heading4"/>
      </w:pPr>
      <w:r>
        <w:lastRenderedPageBreak/>
        <w:t>Medium Priority</w:t>
      </w:r>
    </w:p>
    <w:tbl>
      <w:tblPr>
        <w:tblW w:w="9340" w:type="dxa"/>
        <w:tblCellMar>
          <w:left w:w="0" w:type="dxa"/>
          <w:right w:w="0" w:type="dxa"/>
        </w:tblCellMar>
        <w:tblLook w:val="0420" w:firstRow="1" w:lastRow="0" w:firstColumn="0" w:lastColumn="0" w:noHBand="0" w:noVBand="1"/>
      </w:tblPr>
      <w:tblGrid>
        <w:gridCol w:w="2223"/>
        <w:gridCol w:w="3838"/>
        <w:gridCol w:w="3279"/>
      </w:tblGrid>
      <w:tr w:rsidR="0019025B" w:rsidRPr="00E0519F" w14:paraId="7997541A" w14:textId="77777777" w:rsidTr="7D7A197D">
        <w:trPr>
          <w:trHeight w:val="584"/>
        </w:trPr>
        <w:tc>
          <w:tcPr>
            <w:tcW w:w="222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ED7D31"/>
            <w:tcMar>
              <w:top w:w="72" w:type="dxa"/>
              <w:left w:w="144" w:type="dxa"/>
              <w:bottom w:w="72" w:type="dxa"/>
              <w:right w:w="144" w:type="dxa"/>
            </w:tcMar>
            <w:hideMark/>
          </w:tcPr>
          <w:p w14:paraId="3270BB17" w14:textId="77777777" w:rsidR="0019025B" w:rsidRPr="00E0519F" w:rsidRDefault="0019025B">
            <w:pPr>
              <w:jc w:val="center"/>
              <w:rPr>
                <w:sz w:val="24"/>
                <w:szCs w:val="24"/>
              </w:rPr>
            </w:pPr>
            <w:r>
              <w:rPr>
                <w:b/>
                <w:bCs/>
                <w:sz w:val="24"/>
                <w:szCs w:val="24"/>
              </w:rPr>
              <w:t>Initiative</w:t>
            </w:r>
          </w:p>
        </w:tc>
        <w:tc>
          <w:tcPr>
            <w:tcW w:w="383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ED7D31"/>
            <w:tcMar>
              <w:top w:w="72" w:type="dxa"/>
              <w:left w:w="144" w:type="dxa"/>
              <w:bottom w:w="72" w:type="dxa"/>
              <w:right w:w="144" w:type="dxa"/>
            </w:tcMar>
            <w:hideMark/>
          </w:tcPr>
          <w:p w14:paraId="29C62757" w14:textId="77777777" w:rsidR="0019025B" w:rsidRPr="00E0519F" w:rsidRDefault="0019025B">
            <w:pPr>
              <w:jc w:val="center"/>
              <w:rPr>
                <w:sz w:val="24"/>
                <w:szCs w:val="24"/>
              </w:rPr>
            </w:pPr>
            <w:r>
              <w:rPr>
                <w:b/>
                <w:bCs/>
                <w:sz w:val="24"/>
                <w:szCs w:val="24"/>
                <w:u w:val="single"/>
              </w:rPr>
              <w:t>Description of Work Product</w:t>
            </w:r>
          </w:p>
        </w:tc>
        <w:tc>
          <w:tcPr>
            <w:tcW w:w="327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ED7D31"/>
          </w:tcPr>
          <w:p w14:paraId="31E0011C" w14:textId="77777777" w:rsidR="0019025B" w:rsidRDefault="0019025B">
            <w:pPr>
              <w:jc w:val="center"/>
              <w:rPr>
                <w:b/>
                <w:bCs/>
                <w:sz w:val="24"/>
                <w:szCs w:val="24"/>
                <w:u w:val="single"/>
              </w:rPr>
            </w:pPr>
            <w:r>
              <w:rPr>
                <w:b/>
                <w:bCs/>
                <w:sz w:val="24"/>
                <w:szCs w:val="24"/>
                <w:u w:val="single"/>
              </w:rPr>
              <w:t>SIR / Aligned with:</w:t>
            </w:r>
          </w:p>
        </w:tc>
      </w:tr>
      <w:tr w:rsidR="0019025B" w:rsidRPr="00E0519F" w14:paraId="5E89C616" w14:textId="77777777" w:rsidTr="7D7A197D">
        <w:trPr>
          <w:trHeight w:val="584"/>
        </w:trPr>
        <w:tc>
          <w:tcPr>
            <w:tcW w:w="222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3D826DD8" w14:textId="77777777" w:rsidR="0019025B" w:rsidRPr="00E0519F" w:rsidRDefault="0019025B">
            <w:pPr>
              <w:rPr>
                <w:sz w:val="24"/>
                <w:szCs w:val="24"/>
              </w:rPr>
            </w:pPr>
            <w:r w:rsidRPr="00E0519F">
              <w:rPr>
                <w:b/>
                <w:bCs/>
                <w:sz w:val="24"/>
                <w:szCs w:val="24"/>
              </w:rPr>
              <w:t>EA3:      Enhance Interregional Resource Adequacy and Resiliency Coordination</w:t>
            </w:r>
          </w:p>
        </w:tc>
        <w:tc>
          <w:tcPr>
            <w:tcW w:w="383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4FBCCFCF" w14:textId="77777777" w:rsidR="0019025B" w:rsidRPr="00E0519F" w:rsidRDefault="0019025B">
            <w:pPr>
              <w:rPr>
                <w:sz w:val="24"/>
                <w:szCs w:val="24"/>
              </w:rPr>
            </w:pPr>
            <w:r w:rsidRPr="00E0519F">
              <w:rPr>
                <w:sz w:val="24"/>
                <w:szCs w:val="24"/>
              </w:rPr>
              <w:t>Publish document to stakeholder groups that either outlines coordinated outage planning methodology with neighboring regions or why C.O.P. is not possible.  This document will</w:t>
            </w:r>
            <w:r>
              <w:rPr>
                <w:sz w:val="24"/>
                <w:szCs w:val="24"/>
              </w:rPr>
              <w:t xml:space="preserve"> </w:t>
            </w:r>
            <w:r w:rsidRPr="00E0519F">
              <w:rPr>
                <w:sz w:val="24"/>
                <w:szCs w:val="24"/>
              </w:rPr>
              <w:t>reconcile feedback from EIPC, DOE NTPS, and ESIG Resiliency task force&gt;</w:t>
            </w:r>
          </w:p>
          <w:p w14:paraId="197D17F6" w14:textId="77777777" w:rsidR="0019025B" w:rsidRPr="00E0519F" w:rsidRDefault="0019025B">
            <w:pPr>
              <w:rPr>
                <w:sz w:val="24"/>
                <w:szCs w:val="24"/>
              </w:rPr>
            </w:pPr>
            <w:r w:rsidRPr="00E0519F">
              <w:rPr>
                <w:i/>
                <w:iCs/>
                <w:sz w:val="24"/>
                <w:szCs w:val="24"/>
              </w:rPr>
              <w:t>Preceding Dependency: completion of Recommendation O6 from SCRIPT</w:t>
            </w:r>
          </w:p>
        </w:tc>
        <w:tc>
          <w:tcPr>
            <w:tcW w:w="327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6F0CF116" w14:textId="3D019D3D" w:rsidR="0019025B" w:rsidRPr="00E0519F" w:rsidRDefault="00770177">
            <w:pPr>
              <w:rPr>
                <w:sz w:val="24"/>
                <w:szCs w:val="24"/>
              </w:rPr>
            </w:pPr>
            <w:r>
              <w:rPr>
                <w:sz w:val="24"/>
                <w:szCs w:val="24"/>
              </w:rPr>
              <w:t xml:space="preserve">  </w:t>
            </w:r>
            <w:r w:rsidR="003B4FB9">
              <w:rPr>
                <w:sz w:val="24"/>
                <w:szCs w:val="24"/>
              </w:rPr>
              <w:t>SIR</w:t>
            </w:r>
            <w:r w:rsidR="00A479B0">
              <w:rPr>
                <w:sz w:val="24"/>
                <w:szCs w:val="24"/>
              </w:rPr>
              <w:t>:</w:t>
            </w:r>
            <w:r w:rsidR="003B4FB9">
              <w:rPr>
                <w:sz w:val="24"/>
                <w:szCs w:val="24"/>
              </w:rPr>
              <w:t>155</w:t>
            </w:r>
          </w:p>
        </w:tc>
      </w:tr>
      <w:tr w:rsidR="0019025B" w:rsidRPr="00E0519F" w14:paraId="7BA82D1D"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668125D0" w14:textId="77777777" w:rsidR="0019025B" w:rsidRPr="00E0519F" w:rsidRDefault="0019025B">
            <w:pPr>
              <w:rPr>
                <w:sz w:val="24"/>
                <w:szCs w:val="24"/>
              </w:rPr>
            </w:pPr>
            <w:r w:rsidRPr="00E0519F">
              <w:rPr>
                <w:b/>
                <w:bCs/>
                <w:sz w:val="24"/>
                <w:szCs w:val="24"/>
              </w:rPr>
              <w:t>EA4:      Address Aging Infrastructure and Changing Usage</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03948504" w14:textId="3E6C3D15" w:rsidR="0019025B" w:rsidRPr="00E0519F" w:rsidRDefault="005C3368">
            <w:pPr>
              <w:rPr>
                <w:sz w:val="24"/>
                <w:szCs w:val="24"/>
              </w:rPr>
            </w:pPr>
            <w:r>
              <w:rPr>
                <w:sz w:val="24"/>
                <w:szCs w:val="24"/>
              </w:rPr>
              <w:t xml:space="preserve">No new document will be developed. Instead </w:t>
            </w:r>
            <w:r w:rsidR="00401A2A">
              <w:rPr>
                <w:sz w:val="24"/>
                <w:szCs w:val="24"/>
              </w:rPr>
              <w:t>we are making a recommendation for a change to the language in the ITP Manual. An RR will be developed following TWG approval.</w:t>
            </w:r>
            <w:r>
              <w:rPr>
                <w:sz w:val="24"/>
                <w:szCs w:val="24"/>
              </w:rPr>
              <w:t xml:space="preserve"> </w:t>
            </w:r>
            <w:r w:rsidR="0019025B" w:rsidRPr="00E0519F">
              <w:rPr>
                <w:sz w:val="24"/>
                <w:szCs w:val="24"/>
              </w:rPr>
              <w:t>Develop position / policy document for members to engage at their jurisdictional level to understand how policies would account for aging infrastructure.  Policy document to be developed through:</w:t>
            </w:r>
          </w:p>
          <w:p w14:paraId="73BFA5DE" w14:textId="77777777" w:rsidR="0019025B" w:rsidRPr="00E0519F" w:rsidRDefault="0019025B" w:rsidP="0019025B">
            <w:pPr>
              <w:numPr>
                <w:ilvl w:val="0"/>
                <w:numId w:val="12"/>
              </w:numPr>
              <w:tabs>
                <w:tab w:val="clear" w:pos="2431"/>
              </w:tabs>
              <w:spacing w:after="160" w:line="259" w:lineRule="auto"/>
              <w:rPr>
                <w:sz w:val="24"/>
                <w:szCs w:val="24"/>
              </w:rPr>
            </w:pPr>
            <w:r w:rsidRPr="00E0519F">
              <w:rPr>
                <w:sz w:val="24"/>
                <w:szCs w:val="24"/>
              </w:rPr>
              <w:t xml:space="preserve">Assessing the work of TWG’s Aging Infrastructure and determine if any portion can be included in </w:t>
            </w:r>
            <w:r w:rsidRPr="00E0519F">
              <w:rPr>
                <w:sz w:val="24"/>
                <w:szCs w:val="24"/>
              </w:rPr>
              <w:lastRenderedPageBreak/>
              <w:t>consolidated planning process</w:t>
            </w:r>
          </w:p>
          <w:p w14:paraId="1A4B376D" w14:textId="77777777" w:rsidR="0019025B" w:rsidRPr="00E0519F" w:rsidRDefault="0019025B" w:rsidP="0019025B">
            <w:pPr>
              <w:numPr>
                <w:ilvl w:val="0"/>
                <w:numId w:val="12"/>
              </w:numPr>
              <w:tabs>
                <w:tab w:val="clear" w:pos="2431"/>
              </w:tabs>
              <w:spacing w:after="160" w:line="259" w:lineRule="auto"/>
              <w:rPr>
                <w:sz w:val="24"/>
                <w:szCs w:val="24"/>
              </w:rPr>
            </w:pPr>
            <w:r w:rsidRPr="00E0519F">
              <w:rPr>
                <w:sz w:val="24"/>
                <w:szCs w:val="24"/>
              </w:rPr>
              <w:t xml:space="preserve">Determination of the extent that the distribution system will be impacted by considerations for </w:t>
            </w:r>
            <w:r>
              <w:rPr>
                <w:sz w:val="24"/>
                <w:szCs w:val="24"/>
              </w:rPr>
              <w:t>aging</w:t>
            </w:r>
            <w:r w:rsidRPr="00E0519F">
              <w:rPr>
                <w:sz w:val="24"/>
                <w:szCs w:val="24"/>
              </w:rPr>
              <w:t xml:space="preserve"> infrastructure</w:t>
            </w:r>
          </w:p>
          <w:p w14:paraId="529A1B27" w14:textId="77777777" w:rsidR="0019025B" w:rsidRPr="00E0519F" w:rsidRDefault="0019025B" w:rsidP="0019025B">
            <w:pPr>
              <w:numPr>
                <w:ilvl w:val="0"/>
                <w:numId w:val="12"/>
              </w:numPr>
              <w:tabs>
                <w:tab w:val="clear" w:pos="2431"/>
              </w:tabs>
              <w:spacing w:after="160" w:line="259" w:lineRule="auto"/>
              <w:rPr>
                <w:sz w:val="24"/>
                <w:szCs w:val="24"/>
              </w:rPr>
            </w:pPr>
            <w:r w:rsidRPr="00E0519F">
              <w:rPr>
                <w:sz w:val="24"/>
                <w:szCs w:val="24"/>
              </w:rPr>
              <w:t>Determination of how the distribution system interrelates with the transmission system for obscure resources</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7D1076BD" w14:textId="77CFB704" w:rsidR="0019025B" w:rsidRPr="00E0519F" w:rsidRDefault="003B4FB9">
            <w:pPr>
              <w:rPr>
                <w:sz w:val="24"/>
                <w:szCs w:val="24"/>
              </w:rPr>
            </w:pPr>
            <w:r>
              <w:rPr>
                <w:sz w:val="24"/>
                <w:szCs w:val="24"/>
              </w:rPr>
              <w:lastRenderedPageBreak/>
              <w:t xml:space="preserve">  SIR</w:t>
            </w:r>
            <w:r w:rsidR="00A479B0">
              <w:rPr>
                <w:sz w:val="24"/>
                <w:szCs w:val="24"/>
              </w:rPr>
              <w:t>:</w:t>
            </w:r>
            <w:r>
              <w:rPr>
                <w:sz w:val="24"/>
                <w:szCs w:val="24"/>
              </w:rPr>
              <w:t>152</w:t>
            </w:r>
          </w:p>
        </w:tc>
      </w:tr>
      <w:tr w:rsidR="0019025B" w:rsidRPr="00E0519F" w14:paraId="0363FDBF"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7DD7A67F" w14:textId="77777777" w:rsidR="0019025B" w:rsidRPr="00E0519F" w:rsidRDefault="0019025B">
            <w:pPr>
              <w:rPr>
                <w:sz w:val="24"/>
                <w:szCs w:val="24"/>
              </w:rPr>
            </w:pPr>
            <w:r w:rsidRPr="00E0519F">
              <w:rPr>
                <w:b/>
                <w:bCs/>
                <w:sz w:val="24"/>
                <w:szCs w:val="24"/>
              </w:rPr>
              <w:t>EA6:      Enhance Software Tools, Analysis, and Computational Capacity</w:t>
            </w:r>
            <w:r w:rsidRPr="00E0519F">
              <w:rPr>
                <w:b/>
                <w:bCs/>
                <w:sz w:val="24"/>
                <w:szCs w:val="24"/>
              </w:rPr>
              <w:tab/>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551B44CE" w14:textId="77777777" w:rsidR="0019025B" w:rsidRPr="00E0519F" w:rsidRDefault="0019025B">
            <w:pPr>
              <w:rPr>
                <w:sz w:val="24"/>
                <w:szCs w:val="24"/>
              </w:rPr>
            </w:pPr>
            <w:r>
              <w:rPr>
                <w:sz w:val="24"/>
                <w:szCs w:val="24"/>
              </w:rPr>
              <w:t>Develop</w:t>
            </w:r>
            <w:r w:rsidRPr="00E0519F">
              <w:rPr>
                <w:sz w:val="24"/>
                <w:szCs w:val="24"/>
              </w:rPr>
              <w:t xml:space="preserve"> gap analysis document detailing legacy software platforms currently in-use and their ability to scale to future needs and data computation</w:t>
            </w:r>
          </w:p>
          <w:p w14:paraId="45AD5B19" w14:textId="77777777" w:rsidR="0019025B" w:rsidRDefault="0019025B">
            <w:pPr>
              <w:rPr>
                <w:sz w:val="24"/>
                <w:szCs w:val="24"/>
              </w:rPr>
            </w:pPr>
            <w:r>
              <w:rPr>
                <w:sz w:val="24"/>
                <w:szCs w:val="24"/>
              </w:rPr>
              <w:t>Suggest removal of</w:t>
            </w:r>
            <w:r w:rsidRPr="00E0519F">
              <w:rPr>
                <w:sz w:val="24"/>
                <w:szCs w:val="24"/>
              </w:rPr>
              <w:t xml:space="preserve"> “fully implement SCRIPT recommendations C1, C2 and S2.1” from this initiative</w:t>
            </w:r>
            <w:r>
              <w:rPr>
                <w:sz w:val="24"/>
                <w:szCs w:val="24"/>
              </w:rPr>
              <w:t xml:space="preserve"> – OR list these recommendations and their implementation as required predecessors.</w:t>
            </w:r>
          </w:p>
          <w:p w14:paraId="122B779E" w14:textId="516E1EF1" w:rsidR="0019025B" w:rsidRPr="00E0519F" w:rsidRDefault="00B76452">
            <w:pPr>
              <w:rPr>
                <w:sz w:val="24"/>
                <w:szCs w:val="24"/>
              </w:rPr>
            </w:pPr>
            <w:r>
              <w:rPr>
                <w:sz w:val="24"/>
                <w:szCs w:val="24"/>
              </w:rPr>
              <w:t>A load forecasting team is being formed for 2025</w:t>
            </w:r>
            <w:r w:rsidR="00244291">
              <w:rPr>
                <w:sz w:val="24"/>
                <w:szCs w:val="24"/>
              </w:rPr>
              <w:t>.</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2898A7A4" w14:textId="28434BAA" w:rsidR="0019025B" w:rsidRDefault="00A479B0">
            <w:pPr>
              <w:rPr>
                <w:sz w:val="24"/>
                <w:szCs w:val="24"/>
              </w:rPr>
            </w:pPr>
            <w:r>
              <w:rPr>
                <w:sz w:val="24"/>
                <w:szCs w:val="24"/>
              </w:rPr>
              <w:t xml:space="preserve">  SIR: 189 / 208 / 209 / </w:t>
            </w:r>
            <w:r w:rsidR="00B76452">
              <w:rPr>
                <w:sz w:val="24"/>
                <w:szCs w:val="24"/>
              </w:rPr>
              <w:t>368</w:t>
            </w:r>
          </w:p>
        </w:tc>
      </w:tr>
      <w:tr w:rsidR="0019025B" w:rsidRPr="00E0519F" w14:paraId="3E13CBB1"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2E0A4096" w14:textId="77777777" w:rsidR="0019025B" w:rsidRPr="00E0519F" w:rsidRDefault="0019025B">
            <w:pPr>
              <w:rPr>
                <w:sz w:val="24"/>
                <w:szCs w:val="24"/>
              </w:rPr>
            </w:pPr>
            <w:r w:rsidRPr="00E0519F">
              <w:rPr>
                <w:b/>
                <w:bCs/>
                <w:sz w:val="24"/>
                <w:szCs w:val="24"/>
              </w:rPr>
              <w:t>GS2:      Evaluate Mechanisms for Co-Located Loads</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0B23D995" w14:textId="77777777" w:rsidR="0019025B" w:rsidRDefault="0019025B">
            <w:pPr>
              <w:rPr>
                <w:sz w:val="24"/>
                <w:szCs w:val="24"/>
              </w:rPr>
            </w:pPr>
            <w:r w:rsidRPr="00E0519F">
              <w:rPr>
                <w:sz w:val="24"/>
                <w:szCs w:val="24"/>
              </w:rPr>
              <w:t xml:space="preserve">Develop policy document to be used </w:t>
            </w:r>
            <w:r>
              <w:rPr>
                <w:sz w:val="24"/>
                <w:szCs w:val="24"/>
              </w:rPr>
              <w:t>in preparation for</w:t>
            </w:r>
            <w:r w:rsidRPr="00E0519F">
              <w:rPr>
                <w:sz w:val="24"/>
                <w:szCs w:val="24"/>
              </w:rPr>
              <w:t xml:space="preserve"> policy discussions with state regulators through a defined group that addresses mechanisms for the </w:t>
            </w:r>
            <w:r w:rsidRPr="00E0519F">
              <w:rPr>
                <w:sz w:val="24"/>
                <w:szCs w:val="24"/>
              </w:rPr>
              <w:lastRenderedPageBreak/>
              <w:t>interconnection of Co-located loads.</w:t>
            </w:r>
            <w:r w:rsidR="00A048FF">
              <w:rPr>
                <w:sz w:val="24"/>
                <w:szCs w:val="24"/>
              </w:rPr>
              <w:t xml:space="preserve"> </w:t>
            </w:r>
          </w:p>
          <w:p w14:paraId="5A5C76CF" w14:textId="2B7F6186" w:rsidR="0019025B" w:rsidRPr="00E0519F" w:rsidRDefault="00A048FF">
            <w:pPr>
              <w:rPr>
                <w:sz w:val="24"/>
                <w:szCs w:val="24"/>
              </w:rPr>
            </w:pPr>
            <w:r>
              <w:rPr>
                <w:sz w:val="24"/>
                <w:szCs w:val="24"/>
              </w:rPr>
              <w:t>Part of the Load of the Future and to be worked alongside EA5 and TR7.</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2846C582" w14:textId="72FE43CC" w:rsidR="0019025B" w:rsidRPr="00E0519F" w:rsidRDefault="00244291">
            <w:pPr>
              <w:rPr>
                <w:sz w:val="24"/>
                <w:szCs w:val="24"/>
              </w:rPr>
            </w:pPr>
            <w:r>
              <w:rPr>
                <w:sz w:val="24"/>
                <w:szCs w:val="24"/>
              </w:rPr>
              <w:lastRenderedPageBreak/>
              <w:t xml:space="preserve">  </w:t>
            </w:r>
          </w:p>
        </w:tc>
      </w:tr>
      <w:tr w:rsidR="0019025B" w:rsidRPr="00E0519F" w14:paraId="3C4C3749"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187A1960" w14:textId="77777777" w:rsidR="0019025B" w:rsidRDefault="0019025B">
            <w:pPr>
              <w:rPr>
                <w:b/>
                <w:bCs/>
                <w:sz w:val="24"/>
                <w:szCs w:val="24"/>
              </w:rPr>
            </w:pPr>
            <w:r w:rsidRPr="00E0519F">
              <w:rPr>
                <w:b/>
                <w:bCs/>
                <w:sz w:val="24"/>
                <w:szCs w:val="24"/>
              </w:rPr>
              <w:t>GS3</w:t>
            </w:r>
            <w:r>
              <w:rPr>
                <w:b/>
                <w:bCs/>
                <w:sz w:val="24"/>
                <w:szCs w:val="24"/>
              </w:rPr>
              <w:t xml:space="preserve"> (Now Action Item)</w:t>
            </w:r>
            <w:r w:rsidRPr="00E0519F">
              <w:rPr>
                <w:b/>
                <w:bCs/>
                <w:sz w:val="24"/>
                <w:szCs w:val="24"/>
              </w:rPr>
              <w:t>:      Develop Performance Assessments of Resources to Provide Services</w:t>
            </w:r>
          </w:p>
          <w:p w14:paraId="1F2C23B6" w14:textId="77777777" w:rsidR="0019025B" w:rsidRDefault="0019025B">
            <w:pPr>
              <w:rPr>
                <w:b/>
                <w:bCs/>
                <w:sz w:val="24"/>
                <w:szCs w:val="24"/>
              </w:rPr>
            </w:pPr>
          </w:p>
          <w:p w14:paraId="7B62BA8E" w14:textId="77777777" w:rsidR="0019025B" w:rsidRPr="00E0519F" w:rsidRDefault="0019025B">
            <w:pPr>
              <w:rPr>
                <w:sz w:val="24"/>
                <w:szCs w:val="24"/>
              </w:rPr>
            </w:pP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159BD7B1" w14:textId="77777777" w:rsidR="0019025B" w:rsidRPr="00E0519F" w:rsidRDefault="0019025B">
            <w:pPr>
              <w:rPr>
                <w:sz w:val="24"/>
                <w:szCs w:val="24"/>
              </w:rPr>
            </w:pPr>
            <w:r>
              <w:rPr>
                <w:sz w:val="24"/>
                <w:szCs w:val="24"/>
              </w:rPr>
              <w:t>Schedule</w:t>
            </w:r>
            <w:r w:rsidRPr="00E0519F">
              <w:rPr>
                <w:sz w:val="24"/>
                <w:szCs w:val="24"/>
              </w:rPr>
              <w:t xml:space="preserve"> education </w:t>
            </w:r>
            <w:r>
              <w:rPr>
                <w:sz w:val="24"/>
                <w:szCs w:val="24"/>
              </w:rPr>
              <w:t>sessions for FGSAG members</w:t>
            </w:r>
            <w:r w:rsidRPr="00E0519F">
              <w:rPr>
                <w:sz w:val="24"/>
                <w:szCs w:val="24"/>
              </w:rPr>
              <w:t xml:space="preserve"> focused on:</w:t>
            </w:r>
          </w:p>
          <w:p w14:paraId="16AE6FC1"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training ERS / ORS work as part of the HITT program</w:t>
            </w:r>
          </w:p>
          <w:p w14:paraId="3D01F968"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work related to ramp flexibility, fuel assurance, voltage inertia and frequency response</w:t>
            </w:r>
          </w:p>
          <w:p w14:paraId="0FC9F0C3" w14:textId="77777777" w:rsidR="0019025B" w:rsidRDefault="0019025B">
            <w:pPr>
              <w:rPr>
                <w:sz w:val="24"/>
                <w:szCs w:val="24"/>
              </w:rPr>
            </w:pPr>
            <w:r w:rsidRPr="00E0519F">
              <w:rPr>
                <w:sz w:val="24"/>
                <w:szCs w:val="24"/>
              </w:rPr>
              <w:t>Target group: FGSAG members</w:t>
            </w:r>
          </w:p>
          <w:p w14:paraId="5126247B" w14:textId="77777777" w:rsidR="0019025B" w:rsidRPr="00E0519F" w:rsidRDefault="0019025B">
            <w:pPr>
              <w:rPr>
                <w:sz w:val="24"/>
                <w:szCs w:val="24"/>
              </w:rPr>
            </w:pPr>
          </w:p>
          <w:p w14:paraId="3F527300" w14:textId="77777777" w:rsidR="0019025B" w:rsidRPr="00E0519F" w:rsidRDefault="0019025B">
            <w:pPr>
              <w:rPr>
                <w:sz w:val="24"/>
                <w:szCs w:val="24"/>
              </w:rPr>
            </w:pP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5912AB8D" w14:textId="77777777" w:rsidR="0019025B" w:rsidRDefault="0019025B">
            <w:pPr>
              <w:rPr>
                <w:sz w:val="24"/>
                <w:szCs w:val="24"/>
              </w:rPr>
            </w:pPr>
            <w:r>
              <w:rPr>
                <w:sz w:val="24"/>
                <w:szCs w:val="24"/>
              </w:rPr>
              <w:t>&lt;&lt;Not a Roadmap Item&gt;&gt;</w:t>
            </w:r>
          </w:p>
        </w:tc>
      </w:tr>
      <w:tr w:rsidR="0019025B" w:rsidRPr="00E0519F" w14:paraId="7650C3CB"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52F1B70C" w14:textId="77777777" w:rsidR="0019025B" w:rsidRDefault="0019025B">
            <w:pPr>
              <w:rPr>
                <w:b/>
                <w:bCs/>
                <w:sz w:val="24"/>
                <w:szCs w:val="24"/>
              </w:rPr>
            </w:pPr>
            <w:r w:rsidRPr="00E0519F">
              <w:rPr>
                <w:b/>
                <w:bCs/>
                <w:sz w:val="24"/>
                <w:szCs w:val="24"/>
              </w:rPr>
              <w:t>GS4:</w:t>
            </w:r>
            <w:r>
              <w:rPr>
                <w:b/>
                <w:bCs/>
                <w:sz w:val="24"/>
                <w:szCs w:val="24"/>
              </w:rPr>
              <w:t xml:space="preserve">  (Now Action Item) </w:t>
            </w:r>
            <w:r w:rsidRPr="00E0519F">
              <w:rPr>
                <w:b/>
                <w:bCs/>
                <w:sz w:val="24"/>
                <w:szCs w:val="24"/>
              </w:rPr>
              <w:t>Obtain ERS Through Market Products or Other Necessary Means</w:t>
            </w:r>
          </w:p>
          <w:p w14:paraId="1E0824CC" w14:textId="77777777" w:rsidR="0019025B" w:rsidRPr="00E0519F" w:rsidRDefault="0019025B">
            <w:pPr>
              <w:rPr>
                <w:sz w:val="24"/>
                <w:szCs w:val="24"/>
              </w:rPr>
            </w:pP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39786CFE" w14:textId="77777777" w:rsidR="0019025B" w:rsidRPr="00E0519F" w:rsidRDefault="0019025B">
            <w:pPr>
              <w:rPr>
                <w:sz w:val="24"/>
                <w:szCs w:val="24"/>
              </w:rPr>
            </w:pPr>
            <w:r w:rsidRPr="00E0519F">
              <w:rPr>
                <w:sz w:val="24"/>
                <w:szCs w:val="24"/>
              </w:rPr>
              <w:t xml:space="preserve">Develop and provide to FGSAG members educational </w:t>
            </w:r>
            <w:r>
              <w:rPr>
                <w:sz w:val="24"/>
                <w:szCs w:val="24"/>
              </w:rPr>
              <w:t>sessions covering</w:t>
            </w:r>
          </w:p>
          <w:p w14:paraId="5BFA1FAB"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Ramp flexibility</w:t>
            </w:r>
          </w:p>
          <w:p w14:paraId="259DC355"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Fuel assurance</w:t>
            </w:r>
          </w:p>
          <w:p w14:paraId="305B500C"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Voltage</w:t>
            </w:r>
          </w:p>
          <w:p w14:paraId="3A1AB0BB"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Inertia</w:t>
            </w:r>
          </w:p>
          <w:p w14:paraId="2CFABDA4"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Frequency response</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2A4A0FE6" w14:textId="77777777" w:rsidR="0019025B" w:rsidRPr="00E0519F" w:rsidRDefault="0019025B">
            <w:pPr>
              <w:rPr>
                <w:sz w:val="24"/>
                <w:szCs w:val="24"/>
              </w:rPr>
            </w:pPr>
            <w:r>
              <w:rPr>
                <w:sz w:val="24"/>
                <w:szCs w:val="24"/>
              </w:rPr>
              <w:t>&lt;&lt;Not a Roadmap Item&gt;&gt;</w:t>
            </w:r>
          </w:p>
        </w:tc>
      </w:tr>
      <w:tr w:rsidR="0019025B" w:rsidRPr="00E0519F" w14:paraId="5446BACF"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13742967" w14:textId="77777777" w:rsidR="0019025B" w:rsidRPr="00E0519F" w:rsidRDefault="0019025B">
            <w:pPr>
              <w:rPr>
                <w:sz w:val="24"/>
                <w:szCs w:val="24"/>
              </w:rPr>
            </w:pPr>
            <w:r w:rsidRPr="00E0519F">
              <w:rPr>
                <w:b/>
                <w:bCs/>
                <w:sz w:val="24"/>
                <w:szCs w:val="24"/>
              </w:rPr>
              <w:t>GS6:      Enhance Behind-the-Meter Forecasting Capabilities</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6A650232" w14:textId="77777777" w:rsidR="0019025B" w:rsidRPr="00E0519F" w:rsidRDefault="0019025B">
            <w:pPr>
              <w:rPr>
                <w:sz w:val="24"/>
                <w:szCs w:val="24"/>
              </w:rPr>
            </w:pPr>
            <w:r w:rsidRPr="00E0519F">
              <w:rPr>
                <w:sz w:val="24"/>
                <w:szCs w:val="24"/>
              </w:rPr>
              <w:t xml:space="preserve">Produce and deliver a report </w:t>
            </w:r>
            <w:r>
              <w:rPr>
                <w:sz w:val="24"/>
                <w:szCs w:val="24"/>
              </w:rPr>
              <w:t xml:space="preserve">/ position document </w:t>
            </w:r>
            <w:r w:rsidRPr="00E0519F">
              <w:rPr>
                <w:sz w:val="24"/>
                <w:szCs w:val="24"/>
              </w:rPr>
              <w:t>focused on:</w:t>
            </w:r>
          </w:p>
          <w:p w14:paraId="401237B1"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An improved solar forecast for distributed energy resources</w:t>
            </w:r>
          </w:p>
          <w:p w14:paraId="15EF60FD"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 xml:space="preserve">A point-of-view on how order 2222 will impact </w:t>
            </w:r>
            <w:r w:rsidRPr="00E0519F">
              <w:rPr>
                <w:sz w:val="24"/>
                <w:szCs w:val="24"/>
              </w:rPr>
              <w:lastRenderedPageBreak/>
              <w:t>Behind-the-Meter resources as well as accreditation of Demand Response Resources. This POV should includes EPRI Climate Readi findings in development of SPP’s Behind-the-Meter solar forecast</w:t>
            </w:r>
          </w:p>
          <w:p w14:paraId="1B687BAA" w14:textId="77777777" w:rsidR="0019025B" w:rsidRPr="00E0519F" w:rsidRDefault="0019025B">
            <w:pPr>
              <w:pStyle w:val="ListParagraph"/>
              <w:ind w:left="0"/>
              <w:rPr>
                <w:sz w:val="24"/>
                <w:szCs w:val="24"/>
              </w:rPr>
            </w:pPr>
          </w:p>
          <w:p w14:paraId="12FA931F" w14:textId="41F89210" w:rsidR="0019025B" w:rsidRPr="00E0519F" w:rsidRDefault="0019025B">
            <w:pPr>
              <w:pStyle w:val="ListParagraph"/>
              <w:ind w:left="0"/>
              <w:rPr>
                <w:sz w:val="24"/>
                <w:szCs w:val="24"/>
              </w:rPr>
            </w:pPr>
            <w:r w:rsidRPr="00E0519F">
              <w:rPr>
                <w:sz w:val="24"/>
                <w:szCs w:val="24"/>
              </w:rPr>
              <w:t>Develop and publish a gap report of the DER planning efforts with mitigation recommendations for identified gaps</w:t>
            </w:r>
          </w:p>
          <w:p w14:paraId="3BC9772C" w14:textId="77777777" w:rsidR="0019025B" w:rsidRDefault="0019025B">
            <w:pPr>
              <w:pStyle w:val="ListParagraph"/>
              <w:ind w:left="0"/>
              <w:rPr>
                <w:sz w:val="24"/>
                <w:szCs w:val="24"/>
              </w:rPr>
            </w:pPr>
            <w:r w:rsidRPr="00E0519F">
              <w:rPr>
                <w:sz w:val="24"/>
                <w:szCs w:val="24"/>
              </w:rPr>
              <w:t>DEPENDENCIES</w:t>
            </w:r>
            <w:r>
              <w:rPr>
                <w:sz w:val="24"/>
                <w:szCs w:val="24"/>
              </w:rPr>
              <w:t xml:space="preserve"> / CONSIDERATIONS</w:t>
            </w:r>
            <w:r w:rsidRPr="00E0519F">
              <w:rPr>
                <w:sz w:val="24"/>
                <w:szCs w:val="24"/>
              </w:rPr>
              <w:t>:  SCRIPT  Recommendation DQ4</w:t>
            </w:r>
          </w:p>
          <w:p w14:paraId="31EAD1DF" w14:textId="6FDA2525" w:rsidR="0019025B" w:rsidRPr="00E0519F" w:rsidRDefault="00555666">
            <w:pPr>
              <w:pStyle w:val="ListParagraph"/>
              <w:ind w:left="0"/>
              <w:rPr>
                <w:sz w:val="24"/>
                <w:szCs w:val="24"/>
              </w:rPr>
            </w:pPr>
            <w:r>
              <w:rPr>
                <w:sz w:val="24"/>
                <w:szCs w:val="24"/>
              </w:rPr>
              <w:t>Part of the 2025 Load Forecasting effort</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1882280A" w14:textId="05CD9BB7" w:rsidR="0019025B" w:rsidRPr="00E0519F" w:rsidRDefault="0092284A">
            <w:pPr>
              <w:rPr>
                <w:sz w:val="24"/>
                <w:szCs w:val="24"/>
              </w:rPr>
            </w:pPr>
            <w:r>
              <w:rPr>
                <w:sz w:val="24"/>
                <w:szCs w:val="24"/>
              </w:rPr>
              <w:lastRenderedPageBreak/>
              <w:t xml:space="preserve">  SIR: 158</w:t>
            </w:r>
          </w:p>
        </w:tc>
      </w:tr>
      <w:tr w:rsidR="0019025B" w:rsidRPr="00E0519F" w14:paraId="5A57F714"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3879735D" w14:textId="77777777" w:rsidR="0019025B" w:rsidRPr="00E0519F" w:rsidRDefault="0019025B">
            <w:pPr>
              <w:rPr>
                <w:sz w:val="24"/>
                <w:szCs w:val="24"/>
              </w:rPr>
            </w:pPr>
            <w:r w:rsidRPr="00E0519F">
              <w:rPr>
                <w:b/>
                <w:bCs/>
                <w:sz w:val="24"/>
                <w:szCs w:val="24"/>
              </w:rPr>
              <w:t>TR2:      Improve Coordination of Regional Transmission Planning and Member Resource Planning</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264B7A4C" w14:textId="77777777" w:rsidR="0019025B" w:rsidRPr="00E0519F" w:rsidRDefault="0019025B">
            <w:pPr>
              <w:rPr>
                <w:sz w:val="24"/>
                <w:szCs w:val="24"/>
              </w:rPr>
            </w:pPr>
            <w:r w:rsidRPr="00E0519F">
              <w:rPr>
                <w:sz w:val="24"/>
                <w:szCs w:val="24"/>
              </w:rPr>
              <w:t xml:space="preserve">Develop gap report </w:t>
            </w:r>
            <w:r>
              <w:rPr>
                <w:sz w:val="24"/>
                <w:szCs w:val="24"/>
              </w:rPr>
              <w:t>that utilizes necessary member information for regional transmission / member resource planning to identify and document current gaps in process.</w:t>
            </w:r>
            <w:r w:rsidRPr="00E0519F">
              <w:rPr>
                <w:sz w:val="24"/>
                <w:szCs w:val="24"/>
              </w:rPr>
              <w:t xml:space="preserve"> Present report </w:t>
            </w:r>
            <w:r>
              <w:rPr>
                <w:sz w:val="24"/>
                <w:szCs w:val="24"/>
              </w:rPr>
              <w:t>to</w:t>
            </w:r>
            <w:r w:rsidRPr="00E0519F">
              <w:rPr>
                <w:sz w:val="24"/>
                <w:szCs w:val="24"/>
              </w:rPr>
              <w:t xml:space="preserve"> SPP</w:t>
            </w:r>
            <w:r>
              <w:rPr>
                <w:sz w:val="24"/>
                <w:szCs w:val="24"/>
              </w:rPr>
              <w:t xml:space="preserve">.  </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389F8256" w14:textId="3CED0416" w:rsidR="0019025B" w:rsidRPr="00E0519F" w:rsidRDefault="00555666">
            <w:pPr>
              <w:rPr>
                <w:sz w:val="24"/>
                <w:szCs w:val="24"/>
              </w:rPr>
            </w:pPr>
            <w:r>
              <w:rPr>
                <w:sz w:val="24"/>
                <w:szCs w:val="24"/>
              </w:rPr>
              <w:t xml:space="preserve">  SIR: 144</w:t>
            </w:r>
          </w:p>
        </w:tc>
      </w:tr>
      <w:tr w:rsidR="0019025B" w:rsidRPr="00E0519F" w14:paraId="481A7E97"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7BAEB24C" w14:textId="77777777" w:rsidR="0019025B" w:rsidRPr="00E0519F" w:rsidRDefault="0019025B">
            <w:pPr>
              <w:rPr>
                <w:sz w:val="24"/>
                <w:szCs w:val="24"/>
              </w:rPr>
            </w:pPr>
            <w:r w:rsidRPr="00E0519F">
              <w:rPr>
                <w:b/>
                <w:bCs/>
                <w:sz w:val="24"/>
                <w:szCs w:val="24"/>
              </w:rPr>
              <w:t xml:space="preserve">TR3:      Identify and Assess Approaches to Increase Connectivity of the Eastern and </w:t>
            </w:r>
            <w:r w:rsidRPr="00E0519F">
              <w:rPr>
                <w:b/>
                <w:bCs/>
                <w:sz w:val="24"/>
                <w:szCs w:val="24"/>
              </w:rPr>
              <w:lastRenderedPageBreak/>
              <w:t>Western Interconnections</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585E4792" w14:textId="61E8272B" w:rsidR="00667B28" w:rsidRDefault="00535DBC">
            <w:pPr>
              <w:rPr>
                <w:sz w:val="24"/>
                <w:szCs w:val="24"/>
              </w:rPr>
            </w:pPr>
            <w:r>
              <w:rPr>
                <w:sz w:val="24"/>
                <w:szCs w:val="24"/>
              </w:rPr>
              <w:lastRenderedPageBreak/>
              <w:t>At the academic research stage. Planning a FERNS West study in 2025.</w:t>
            </w:r>
          </w:p>
          <w:p w14:paraId="77FB0D5C" w14:textId="77777777" w:rsidR="0019025B" w:rsidRPr="00E0519F" w:rsidRDefault="0019025B">
            <w:pPr>
              <w:rPr>
                <w:sz w:val="24"/>
                <w:szCs w:val="24"/>
              </w:rPr>
            </w:pPr>
            <w:r w:rsidRPr="00E0519F">
              <w:rPr>
                <w:sz w:val="24"/>
                <w:szCs w:val="24"/>
              </w:rPr>
              <w:t xml:space="preserve">Document and </w:t>
            </w:r>
            <w:r>
              <w:rPr>
                <w:sz w:val="24"/>
                <w:szCs w:val="24"/>
              </w:rPr>
              <w:t>provide</w:t>
            </w:r>
            <w:r w:rsidRPr="00E0519F">
              <w:rPr>
                <w:sz w:val="24"/>
                <w:szCs w:val="24"/>
              </w:rPr>
              <w:t xml:space="preserve"> a report that: </w:t>
            </w:r>
          </w:p>
          <w:p w14:paraId="753C7715" w14:textId="77777777" w:rsidR="0019025B" w:rsidRDefault="0019025B" w:rsidP="0019025B">
            <w:pPr>
              <w:pStyle w:val="ListParagraph"/>
              <w:numPr>
                <w:ilvl w:val="0"/>
                <w:numId w:val="13"/>
              </w:numPr>
              <w:tabs>
                <w:tab w:val="clear" w:pos="2431"/>
              </w:tabs>
              <w:spacing w:after="160" w:line="259" w:lineRule="auto"/>
              <w:contextualSpacing/>
              <w:rPr>
                <w:sz w:val="24"/>
                <w:szCs w:val="24"/>
              </w:rPr>
            </w:pPr>
            <w:r>
              <w:rPr>
                <w:sz w:val="24"/>
                <w:szCs w:val="24"/>
              </w:rPr>
              <w:lastRenderedPageBreak/>
              <w:t>Evaluates and identifies the technical / reliability needs for Eastern and Western interconnects connectivity</w:t>
            </w:r>
          </w:p>
          <w:p w14:paraId="2BB159CA" w14:textId="77777777" w:rsidR="0019025B" w:rsidRDefault="0019025B" w:rsidP="0019025B">
            <w:pPr>
              <w:pStyle w:val="ListParagraph"/>
              <w:numPr>
                <w:ilvl w:val="0"/>
                <w:numId w:val="13"/>
              </w:numPr>
              <w:tabs>
                <w:tab w:val="clear" w:pos="2431"/>
              </w:tabs>
              <w:spacing w:after="160" w:line="259" w:lineRule="auto"/>
              <w:contextualSpacing/>
              <w:rPr>
                <w:sz w:val="24"/>
                <w:szCs w:val="24"/>
              </w:rPr>
            </w:pPr>
            <w:r>
              <w:rPr>
                <w:sz w:val="24"/>
                <w:szCs w:val="24"/>
              </w:rPr>
              <w:t>Assesses the economic needs and impacts of such connectivity</w:t>
            </w:r>
          </w:p>
          <w:p w14:paraId="4DCE6948" w14:textId="77777777" w:rsidR="0019025B" w:rsidRPr="00A75ECD" w:rsidRDefault="0019025B" w:rsidP="0019025B">
            <w:pPr>
              <w:pStyle w:val="ListParagraph"/>
              <w:numPr>
                <w:ilvl w:val="0"/>
                <w:numId w:val="13"/>
              </w:numPr>
              <w:tabs>
                <w:tab w:val="clear" w:pos="2431"/>
              </w:tabs>
              <w:spacing w:after="160" w:line="259" w:lineRule="auto"/>
              <w:contextualSpacing/>
              <w:rPr>
                <w:sz w:val="24"/>
                <w:szCs w:val="24"/>
              </w:rPr>
            </w:pPr>
            <w:r>
              <w:rPr>
                <w:sz w:val="24"/>
                <w:szCs w:val="24"/>
              </w:rPr>
              <w:t>Determines a directional cost allocation approach for this connectivity</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02A9D344" w14:textId="77777777" w:rsidR="0019025B" w:rsidRPr="00E0519F" w:rsidRDefault="0019025B">
            <w:pPr>
              <w:rPr>
                <w:sz w:val="24"/>
                <w:szCs w:val="24"/>
              </w:rPr>
            </w:pPr>
          </w:p>
        </w:tc>
      </w:tr>
      <w:tr w:rsidR="0019025B" w:rsidRPr="00E0519F" w14:paraId="6BAA2C11"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3B774B1D" w14:textId="77777777" w:rsidR="0019025B" w:rsidRPr="00E0519F" w:rsidRDefault="0019025B">
            <w:pPr>
              <w:rPr>
                <w:sz w:val="24"/>
                <w:szCs w:val="24"/>
              </w:rPr>
            </w:pPr>
            <w:r w:rsidRPr="00E0519F">
              <w:rPr>
                <w:b/>
                <w:bCs/>
                <w:sz w:val="24"/>
                <w:szCs w:val="24"/>
              </w:rPr>
              <w:t>TR5:      Increase Leadership in Interregional and National Coordination</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6AF5A2A9" w14:textId="02663816" w:rsidR="00136F5E" w:rsidRDefault="00136F5E">
            <w:pPr>
              <w:rPr>
                <w:sz w:val="24"/>
                <w:szCs w:val="24"/>
              </w:rPr>
            </w:pPr>
            <w:r>
              <w:rPr>
                <w:sz w:val="24"/>
                <w:szCs w:val="24"/>
              </w:rPr>
              <w:t>Participation in annual summit for North American RTOs</w:t>
            </w:r>
            <w:r w:rsidR="00C63EB2">
              <w:rPr>
                <w:sz w:val="24"/>
                <w:szCs w:val="24"/>
              </w:rPr>
              <w:t xml:space="preserve"> along with quarterly touchbases. </w:t>
            </w:r>
          </w:p>
          <w:p w14:paraId="6A89635C" w14:textId="77777777" w:rsidR="0019025B" w:rsidRPr="00E0519F" w:rsidRDefault="0019025B">
            <w:pPr>
              <w:rPr>
                <w:sz w:val="24"/>
                <w:szCs w:val="24"/>
              </w:rPr>
            </w:pPr>
            <w:r w:rsidRPr="00E0519F">
              <w:rPr>
                <w:sz w:val="24"/>
                <w:szCs w:val="24"/>
              </w:rPr>
              <w:t>Develop and document an engagement strategy for policy advocacy that addresses:</w:t>
            </w:r>
          </w:p>
          <w:p w14:paraId="33B5B9BB"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Technical, reliability and economic needs for more interregional and national transmission expansion</w:t>
            </w:r>
          </w:p>
          <w:p w14:paraId="5DA317B1" w14:textId="77777777" w:rsidR="0019025B" w:rsidRPr="00E0519F" w:rsidRDefault="0019025B" w:rsidP="0019025B">
            <w:pPr>
              <w:pStyle w:val="ListParagraph"/>
              <w:numPr>
                <w:ilvl w:val="0"/>
                <w:numId w:val="13"/>
              </w:numPr>
              <w:tabs>
                <w:tab w:val="clear" w:pos="2431"/>
              </w:tabs>
              <w:spacing w:after="160" w:line="259" w:lineRule="auto"/>
              <w:contextualSpacing/>
              <w:rPr>
                <w:sz w:val="24"/>
                <w:szCs w:val="24"/>
              </w:rPr>
            </w:pPr>
            <w:r w:rsidRPr="00E0519F">
              <w:rPr>
                <w:sz w:val="24"/>
                <w:szCs w:val="24"/>
              </w:rPr>
              <w:t>Identifies the most relevant authorities and organizations for more engagement</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2E433867" w14:textId="40AFC04E" w:rsidR="0019025B" w:rsidRDefault="00136F5E">
            <w:pPr>
              <w:rPr>
                <w:sz w:val="24"/>
                <w:szCs w:val="24"/>
              </w:rPr>
            </w:pPr>
            <w:r>
              <w:rPr>
                <w:sz w:val="24"/>
                <w:szCs w:val="24"/>
              </w:rPr>
              <w:t xml:space="preserve">  SIR: 169 / 170</w:t>
            </w:r>
          </w:p>
          <w:p w14:paraId="54D0DC8F" w14:textId="77777777" w:rsidR="0019025B" w:rsidRPr="00E0519F" w:rsidRDefault="0019025B" w:rsidP="00D63068">
            <w:pPr>
              <w:jc w:val="center"/>
              <w:rPr>
                <w:sz w:val="24"/>
                <w:szCs w:val="24"/>
              </w:rPr>
            </w:pPr>
          </w:p>
        </w:tc>
      </w:tr>
      <w:tr w:rsidR="0019025B" w:rsidRPr="00E0519F" w14:paraId="12F17F5F"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7A698B5F" w14:textId="2012CFE2" w:rsidR="0019025B" w:rsidRPr="00E0519F" w:rsidRDefault="0019025B">
            <w:pPr>
              <w:rPr>
                <w:sz w:val="24"/>
                <w:szCs w:val="24"/>
              </w:rPr>
            </w:pPr>
            <w:r w:rsidRPr="00E0519F">
              <w:rPr>
                <w:b/>
                <w:bCs/>
                <w:sz w:val="24"/>
                <w:szCs w:val="24"/>
              </w:rPr>
              <w:t>DR1:      Encourage Electrification</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6B59E3B9" w14:textId="77777777" w:rsidR="0019025B" w:rsidRDefault="0019025B">
            <w:pPr>
              <w:rPr>
                <w:sz w:val="24"/>
                <w:szCs w:val="24"/>
              </w:rPr>
            </w:pPr>
            <w:r>
              <w:rPr>
                <w:sz w:val="24"/>
                <w:szCs w:val="24"/>
              </w:rPr>
              <w:t>Perform studies</w:t>
            </w:r>
            <w:r w:rsidRPr="00E0519F">
              <w:rPr>
                <w:sz w:val="24"/>
                <w:szCs w:val="24"/>
              </w:rPr>
              <w:t xml:space="preserve"> that evaluate different demand electrification scenarios in the region and determine underlying policies that can result in different levels of demand electrification.</w:t>
            </w:r>
            <w:r>
              <w:rPr>
                <w:sz w:val="24"/>
                <w:szCs w:val="24"/>
              </w:rPr>
              <w:t xml:space="preserve">  Provide reporting back from studies to educate </w:t>
            </w:r>
            <w:r w:rsidRPr="00E0519F">
              <w:rPr>
                <w:sz w:val="24"/>
                <w:szCs w:val="24"/>
              </w:rPr>
              <w:t>LRE’s and regulatory authorities</w:t>
            </w:r>
            <w:r>
              <w:rPr>
                <w:sz w:val="24"/>
                <w:szCs w:val="24"/>
              </w:rPr>
              <w:t xml:space="preserve"> on </w:t>
            </w:r>
            <w:r>
              <w:rPr>
                <w:sz w:val="24"/>
                <w:szCs w:val="24"/>
              </w:rPr>
              <w:lastRenderedPageBreak/>
              <w:t>demand electrification possibilities.</w:t>
            </w:r>
          </w:p>
          <w:p w14:paraId="3E14BDD0" w14:textId="07C80317" w:rsidR="0019025B" w:rsidRPr="00E0519F" w:rsidRDefault="000E0865">
            <w:pPr>
              <w:rPr>
                <w:sz w:val="24"/>
                <w:szCs w:val="24"/>
              </w:rPr>
            </w:pPr>
            <w:r>
              <w:rPr>
                <w:sz w:val="24"/>
                <w:szCs w:val="24"/>
              </w:rPr>
              <w:t>FERNS report in development and will be shared with Working Groups</w:t>
            </w:r>
            <w:r w:rsidR="00175413">
              <w:rPr>
                <w:sz w:val="24"/>
                <w:szCs w:val="24"/>
              </w:rPr>
              <w:t xml:space="preserve">. </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3CC2A99B" w14:textId="03B2B752" w:rsidR="0019025B" w:rsidRDefault="000E0865" w:rsidP="00D63068">
            <w:pPr>
              <w:tabs>
                <w:tab w:val="clear" w:pos="2431"/>
                <w:tab w:val="left" w:pos="1029"/>
              </w:tabs>
              <w:rPr>
                <w:sz w:val="24"/>
                <w:szCs w:val="24"/>
              </w:rPr>
            </w:pPr>
            <w:r>
              <w:rPr>
                <w:sz w:val="24"/>
                <w:szCs w:val="24"/>
              </w:rPr>
              <w:lastRenderedPageBreak/>
              <w:t xml:space="preserve">  SIR: 8</w:t>
            </w:r>
          </w:p>
        </w:tc>
      </w:tr>
      <w:tr w:rsidR="0019025B" w:rsidRPr="00E0519F" w14:paraId="2D1C5459"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55B00DBE" w14:textId="77777777" w:rsidR="0019025B" w:rsidRPr="00E0519F" w:rsidRDefault="0019025B">
            <w:pPr>
              <w:rPr>
                <w:sz w:val="24"/>
                <w:szCs w:val="24"/>
              </w:rPr>
            </w:pPr>
            <w:r w:rsidRPr="00E0519F">
              <w:rPr>
                <w:b/>
                <w:bCs/>
                <w:sz w:val="24"/>
                <w:szCs w:val="24"/>
              </w:rPr>
              <w:t>DR2:      Encourage, Integrate, and Use Electric Vehicle Charging</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5E0C0EA2" w14:textId="282BE072" w:rsidR="0019025B" w:rsidRPr="00E0519F" w:rsidRDefault="0019025B">
            <w:pPr>
              <w:rPr>
                <w:sz w:val="24"/>
                <w:szCs w:val="24"/>
              </w:rPr>
            </w:pPr>
            <w:r>
              <w:rPr>
                <w:sz w:val="24"/>
                <w:szCs w:val="24"/>
              </w:rPr>
              <w:t>Publish point-of-view document that utilizes the demand electrification study to determine and document demand electrification scenarios of the transportation industry.  POV document must include a reasonable number of appropriate electrification scenarios.</w:t>
            </w:r>
            <w:r w:rsidR="00175413">
              <w:rPr>
                <w:sz w:val="24"/>
                <w:szCs w:val="24"/>
              </w:rPr>
              <w:t xml:space="preserve"> Falls under Load Forecasting Task Force.</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0F9A4A2D" w14:textId="77777777" w:rsidR="0019025B" w:rsidRDefault="0019025B">
            <w:pPr>
              <w:rPr>
                <w:sz w:val="24"/>
                <w:szCs w:val="24"/>
              </w:rPr>
            </w:pPr>
          </w:p>
        </w:tc>
      </w:tr>
      <w:tr w:rsidR="0019025B" w:rsidRPr="00E0519F" w14:paraId="3474868B"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32DCB66C" w14:textId="77777777" w:rsidR="0019025B" w:rsidRPr="00E0519F" w:rsidRDefault="0019025B">
            <w:pPr>
              <w:rPr>
                <w:sz w:val="24"/>
                <w:szCs w:val="24"/>
              </w:rPr>
            </w:pPr>
            <w:r w:rsidRPr="00E0519F">
              <w:rPr>
                <w:b/>
                <w:bCs/>
                <w:sz w:val="24"/>
                <w:szCs w:val="24"/>
              </w:rPr>
              <w:t>DR3:      Plan for a Variable Pace of Customer Adoption</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584F09C6" w14:textId="7EA6D8A5" w:rsidR="0019025B" w:rsidRPr="00E0519F" w:rsidRDefault="0019025B">
            <w:pPr>
              <w:rPr>
                <w:sz w:val="24"/>
                <w:szCs w:val="24"/>
              </w:rPr>
            </w:pPr>
            <w:r w:rsidRPr="00E0519F">
              <w:rPr>
                <w:sz w:val="24"/>
                <w:szCs w:val="24"/>
              </w:rPr>
              <w:t>Utilize demand electrification study of FERNS to develop a point-of-view document that details possible paths of customer adoptions.</w:t>
            </w:r>
            <w:r w:rsidR="00D45A62">
              <w:rPr>
                <w:sz w:val="24"/>
                <w:szCs w:val="24"/>
              </w:rPr>
              <w:t xml:space="preserve"> Falls under Load Forecasting Team studies and analysis. </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6B36E823" w14:textId="77777777" w:rsidR="0019025B" w:rsidRPr="00E0519F" w:rsidRDefault="0019025B">
            <w:pPr>
              <w:rPr>
                <w:sz w:val="24"/>
                <w:szCs w:val="24"/>
              </w:rPr>
            </w:pPr>
          </w:p>
        </w:tc>
      </w:tr>
      <w:tr w:rsidR="0019025B" w:rsidRPr="00E0519F" w14:paraId="16192CDC"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755A57D6" w14:textId="3DF84AD2" w:rsidR="0019025B" w:rsidRPr="00E0519F" w:rsidRDefault="0019025B">
            <w:pPr>
              <w:rPr>
                <w:sz w:val="24"/>
                <w:szCs w:val="24"/>
              </w:rPr>
            </w:pPr>
            <w:r w:rsidRPr="00E0519F">
              <w:rPr>
                <w:b/>
                <w:bCs/>
                <w:sz w:val="24"/>
                <w:szCs w:val="24"/>
              </w:rPr>
              <w:t>IC2:</w:t>
            </w:r>
            <w:r w:rsidR="00B2450C">
              <w:rPr>
                <w:b/>
                <w:bCs/>
                <w:sz w:val="24"/>
                <w:szCs w:val="24"/>
              </w:rPr>
              <w:t xml:space="preserve"> (Merged with IC3)</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Mar>
              <w:top w:w="72" w:type="dxa"/>
              <w:left w:w="144" w:type="dxa"/>
              <w:bottom w:w="72" w:type="dxa"/>
              <w:right w:w="144" w:type="dxa"/>
            </w:tcMar>
            <w:hideMark/>
          </w:tcPr>
          <w:p w14:paraId="25E8A8AD" w14:textId="795B3600" w:rsidR="0019025B" w:rsidRPr="00E0519F" w:rsidRDefault="0019025B">
            <w:pPr>
              <w:rPr>
                <w:sz w:val="24"/>
                <w:szCs w:val="24"/>
              </w:rPr>
            </w:pP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CE8"/>
          </w:tcPr>
          <w:p w14:paraId="699BB91B" w14:textId="77777777" w:rsidR="0019025B" w:rsidRPr="00E0519F" w:rsidRDefault="0019025B">
            <w:pPr>
              <w:rPr>
                <w:sz w:val="24"/>
                <w:szCs w:val="24"/>
              </w:rPr>
            </w:pPr>
          </w:p>
        </w:tc>
      </w:tr>
      <w:tr w:rsidR="0019025B" w:rsidRPr="00E0519F" w14:paraId="46F848E3" w14:textId="77777777" w:rsidTr="7D7A197D">
        <w:trPr>
          <w:trHeight w:val="584"/>
        </w:trPr>
        <w:tc>
          <w:tcPr>
            <w:tcW w:w="22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5EDAA48C" w14:textId="44CCD7C1" w:rsidR="0019025B" w:rsidRPr="00E0519F" w:rsidRDefault="0019025B">
            <w:pPr>
              <w:rPr>
                <w:sz w:val="24"/>
                <w:szCs w:val="24"/>
              </w:rPr>
            </w:pPr>
            <w:r w:rsidRPr="00E0519F">
              <w:rPr>
                <w:b/>
                <w:bCs/>
                <w:sz w:val="24"/>
                <w:szCs w:val="24"/>
              </w:rPr>
              <w:t>IC3:       Encourage Innovation and Adoption of New Technologies</w:t>
            </w:r>
            <w:r w:rsidR="00466710">
              <w:rPr>
                <w:b/>
                <w:bCs/>
                <w:sz w:val="24"/>
                <w:szCs w:val="24"/>
              </w:rPr>
              <w:t xml:space="preserve"> (</w:t>
            </w:r>
            <w:r w:rsidR="00DF3EC6">
              <w:rPr>
                <w:b/>
                <w:bCs/>
                <w:sz w:val="24"/>
                <w:szCs w:val="24"/>
              </w:rPr>
              <w:t xml:space="preserve">through evaluation of </w:t>
            </w:r>
            <w:r w:rsidR="00DF3EC6">
              <w:rPr>
                <w:b/>
                <w:bCs/>
                <w:sz w:val="24"/>
                <w:szCs w:val="24"/>
              </w:rPr>
              <w:lastRenderedPageBreak/>
              <w:t>global best practices)</w:t>
            </w:r>
          </w:p>
        </w:tc>
        <w:tc>
          <w:tcPr>
            <w:tcW w:w="38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Mar>
              <w:top w:w="72" w:type="dxa"/>
              <w:left w:w="144" w:type="dxa"/>
              <w:bottom w:w="72" w:type="dxa"/>
              <w:right w:w="144" w:type="dxa"/>
            </w:tcMar>
            <w:hideMark/>
          </w:tcPr>
          <w:p w14:paraId="04E78AA5" w14:textId="4F2535BD" w:rsidR="0019025B" w:rsidRPr="00E0519F" w:rsidRDefault="0019025B">
            <w:pPr>
              <w:rPr>
                <w:sz w:val="24"/>
                <w:szCs w:val="24"/>
              </w:rPr>
            </w:pPr>
            <w:r>
              <w:rPr>
                <w:sz w:val="24"/>
                <w:szCs w:val="24"/>
              </w:rPr>
              <w:lastRenderedPageBreak/>
              <w:t>D</w:t>
            </w:r>
            <w:r w:rsidRPr="00E0519F">
              <w:rPr>
                <w:sz w:val="24"/>
                <w:szCs w:val="24"/>
              </w:rPr>
              <w:t xml:space="preserve">evelop a </w:t>
            </w:r>
            <w:r>
              <w:rPr>
                <w:sz w:val="24"/>
                <w:szCs w:val="24"/>
              </w:rPr>
              <w:t>process</w:t>
            </w:r>
            <w:r w:rsidRPr="00E0519F">
              <w:rPr>
                <w:sz w:val="24"/>
                <w:szCs w:val="24"/>
              </w:rPr>
              <w:t xml:space="preserve"> document that advocates for the development of beneficial grid technologies and advocate for adoption across the industry.</w:t>
            </w:r>
            <w:r>
              <w:rPr>
                <w:sz w:val="24"/>
                <w:szCs w:val="24"/>
              </w:rPr>
              <w:t xml:space="preserve">  Document should include a suggested method of capture </w:t>
            </w:r>
            <w:r>
              <w:rPr>
                <w:sz w:val="24"/>
                <w:szCs w:val="24"/>
              </w:rPr>
              <w:lastRenderedPageBreak/>
              <w:t>and documentation of global best practices.</w:t>
            </w:r>
            <w:r w:rsidR="00DF3EC6">
              <w:rPr>
                <w:sz w:val="24"/>
                <w:szCs w:val="24"/>
              </w:rPr>
              <w:t xml:space="preserve">  </w:t>
            </w:r>
          </w:p>
        </w:tc>
        <w:tc>
          <w:tcPr>
            <w:tcW w:w="32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D7CD"/>
          </w:tcPr>
          <w:p w14:paraId="41BE921D" w14:textId="7D66E69F" w:rsidR="0019025B" w:rsidRDefault="008F4868">
            <w:pPr>
              <w:rPr>
                <w:sz w:val="24"/>
                <w:szCs w:val="24"/>
              </w:rPr>
            </w:pPr>
            <w:r>
              <w:rPr>
                <w:sz w:val="24"/>
                <w:szCs w:val="24"/>
              </w:rPr>
              <w:lastRenderedPageBreak/>
              <w:t xml:space="preserve">  </w:t>
            </w:r>
          </w:p>
        </w:tc>
      </w:tr>
    </w:tbl>
    <w:p w14:paraId="3E110AF3" w14:textId="77777777" w:rsidR="0019025B" w:rsidRPr="009D0A75" w:rsidRDefault="0019025B" w:rsidP="0019025B"/>
    <w:p w14:paraId="2EDDE7FE" w14:textId="77777777" w:rsidR="0019025B" w:rsidRDefault="0019025B" w:rsidP="0019025B">
      <w:pPr>
        <w:pStyle w:val="Heading4"/>
      </w:pPr>
      <w:r>
        <w:t>Low Priority</w:t>
      </w:r>
    </w:p>
    <w:tbl>
      <w:tblPr>
        <w:tblpPr w:leftFromText="180" w:rightFromText="180" w:vertAnchor="text" w:horzAnchor="margin" w:tblpY="407"/>
        <w:tblW w:w="9340" w:type="dxa"/>
        <w:tblCellMar>
          <w:left w:w="0" w:type="dxa"/>
          <w:right w:w="0" w:type="dxa"/>
        </w:tblCellMar>
        <w:tblLook w:val="0420" w:firstRow="1" w:lastRow="0" w:firstColumn="0" w:lastColumn="0" w:noHBand="0" w:noVBand="1"/>
      </w:tblPr>
      <w:tblGrid>
        <w:gridCol w:w="2791"/>
        <w:gridCol w:w="3516"/>
        <w:gridCol w:w="3033"/>
      </w:tblGrid>
      <w:tr w:rsidR="0019025B" w:rsidRPr="00E0519F" w14:paraId="7388476A" w14:textId="77777777">
        <w:trPr>
          <w:trHeight w:val="584"/>
        </w:trPr>
        <w:tc>
          <w:tcPr>
            <w:tcW w:w="27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219BB57" w14:textId="77777777" w:rsidR="0019025B" w:rsidRPr="00E0519F" w:rsidRDefault="0019025B">
            <w:pPr>
              <w:jc w:val="center"/>
              <w:rPr>
                <w:sz w:val="24"/>
                <w:szCs w:val="24"/>
              </w:rPr>
            </w:pPr>
            <w:r w:rsidRPr="00E0519F">
              <w:rPr>
                <w:b/>
                <w:bCs/>
                <w:sz w:val="24"/>
                <w:szCs w:val="24"/>
              </w:rPr>
              <w:t>Initiative</w:t>
            </w:r>
          </w:p>
        </w:tc>
        <w:tc>
          <w:tcPr>
            <w:tcW w:w="351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034B7B3" w14:textId="77777777" w:rsidR="0019025B" w:rsidRPr="00E0519F" w:rsidRDefault="0019025B">
            <w:pPr>
              <w:jc w:val="center"/>
              <w:rPr>
                <w:sz w:val="24"/>
                <w:szCs w:val="24"/>
              </w:rPr>
            </w:pPr>
            <w:r>
              <w:rPr>
                <w:b/>
                <w:bCs/>
                <w:sz w:val="24"/>
                <w:szCs w:val="24"/>
                <w:u w:val="single"/>
              </w:rPr>
              <w:t>Description of Work Product</w:t>
            </w:r>
          </w:p>
        </w:tc>
        <w:tc>
          <w:tcPr>
            <w:tcW w:w="3033" w:type="dxa"/>
            <w:tcBorders>
              <w:top w:val="single" w:sz="8" w:space="0" w:color="FFFFFF"/>
              <w:left w:val="single" w:sz="8" w:space="0" w:color="FFFFFF"/>
              <w:bottom w:val="single" w:sz="24" w:space="0" w:color="FFFFFF"/>
              <w:right w:val="single" w:sz="8" w:space="0" w:color="FFFFFF"/>
            </w:tcBorders>
            <w:shd w:val="clear" w:color="auto" w:fill="5B9BD5"/>
          </w:tcPr>
          <w:p w14:paraId="0177FF42" w14:textId="77777777" w:rsidR="0019025B" w:rsidRDefault="0019025B">
            <w:pPr>
              <w:jc w:val="center"/>
              <w:rPr>
                <w:b/>
                <w:bCs/>
                <w:sz w:val="24"/>
                <w:szCs w:val="24"/>
                <w:u w:val="single"/>
              </w:rPr>
            </w:pPr>
            <w:r>
              <w:rPr>
                <w:b/>
                <w:bCs/>
                <w:sz w:val="24"/>
                <w:szCs w:val="24"/>
                <w:u w:val="single"/>
              </w:rPr>
              <w:t>SIR / Aligned With:</w:t>
            </w:r>
          </w:p>
        </w:tc>
      </w:tr>
      <w:tr w:rsidR="0019025B" w:rsidRPr="00E0519F" w14:paraId="6C7A979E" w14:textId="77777777">
        <w:trPr>
          <w:trHeight w:val="584"/>
        </w:trPr>
        <w:tc>
          <w:tcPr>
            <w:tcW w:w="279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E289DD0" w14:textId="77777777" w:rsidR="0019025B" w:rsidRPr="00E0519F" w:rsidRDefault="0019025B">
            <w:pPr>
              <w:rPr>
                <w:sz w:val="24"/>
                <w:szCs w:val="24"/>
              </w:rPr>
            </w:pPr>
            <w:r w:rsidRPr="00E0519F">
              <w:rPr>
                <w:b/>
                <w:bCs/>
                <w:sz w:val="24"/>
                <w:szCs w:val="24"/>
              </w:rPr>
              <w:t>EA5:      Mitigate the Risks of Stranded Costs for Unconventional Loads</w:t>
            </w:r>
          </w:p>
        </w:tc>
        <w:tc>
          <w:tcPr>
            <w:tcW w:w="351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73B0DCE" w14:textId="77777777" w:rsidR="0019025B" w:rsidRPr="00E0519F" w:rsidRDefault="0019025B">
            <w:pPr>
              <w:rPr>
                <w:sz w:val="24"/>
                <w:szCs w:val="24"/>
              </w:rPr>
            </w:pPr>
            <w:r w:rsidRPr="00E0519F">
              <w:rPr>
                <w:sz w:val="24"/>
                <w:szCs w:val="24"/>
              </w:rPr>
              <w:t xml:space="preserve">Empanel task force to develop </w:t>
            </w:r>
            <w:r>
              <w:rPr>
                <w:sz w:val="24"/>
                <w:szCs w:val="24"/>
              </w:rPr>
              <w:t xml:space="preserve">and publish </w:t>
            </w:r>
            <w:r w:rsidRPr="00E0519F">
              <w:rPr>
                <w:b/>
                <w:bCs/>
                <w:sz w:val="24"/>
                <w:szCs w:val="24"/>
              </w:rPr>
              <w:t xml:space="preserve">Policy document </w:t>
            </w:r>
            <w:r w:rsidRPr="00E0519F">
              <w:rPr>
                <w:sz w:val="24"/>
                <w:szCs w:val="24"/>
              </w:rPr>
              <w:t>focused on unconventional loads that can be used for policy discussions with state regulators</w:t>
            </w:r>
          </w:p>
        </w:tc>
        <w:tc>
          <w:tcPr>
            <w:tcW w:w="3033" w:type="dxa"/>
            <w:tcBorders>
              <w:top w:val="single" w:sz="24" w:space="0" w:color="FFFFFF"/>
              <w:left w:val="single" w:sz="8" w:space="0" w:color="FFFFFF"/>
              <w:bottom w:val="single" w:sz="8" w:space="0" w:color="FFFFFF"/>
              <w:right w:val="single" w:sz="8" w:space="0" w:color="FFFFFF"/>
            </w:tcBorders>
            <w:shd w:val="clear" w:color="auto" w:fill="D2DEEF"/>
          </w:tcPr>
          <w:p w14:paraId="7F8D581F" w14:textId="77777777" w:rsidR="0019025B" w:rsidRPr="00E0519F" w:rsidRDefault="0019025B">
            <w:pPr>
              <w:rPr>
                <w:sz w:val="24"/>
                <w:szCs w:val="24"/>
              </w:rPr>
            </w:pPr>
          </w:p>
        </w:tc>
      </w:tr>
      <w:tr w:rsidR="0019025B" w:rsidRPr="00E0519F" w14:paraId="04BAD92A" w14:textId="77777777">
        <w:trPr>
          <w:trHeight w:val="584"/>
        </w:trPr>
        <w:tc>
          <w:tcPr>
            <w:tcW w:w="279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6177A11" w14:textId="77777777" w:rsidR="0019025B" w:rsidRPr="00E0519F" w:rsidRDefault="0019025B">
            <w:pPr>
              <w:rPr>
                <w:sz w:val="24"/>
                <w:szCs w:val="24"/>
              </w:rPr>
            </w:pPr>
            <w:r w:rsidRPr="00E0519F">
              <w:rPr>
                <w:b/>
                <w:bCs/>
                <w:sz w:val="24"/>
                <w:szCs w:val="24"/>
              </w:rPr>
              <w:t>TR4:      Promote Equitable Process for Siting Transmission Lines</w:t>
            </w:r>
          </w:p>
        </w:tc>
        <w:tc>
          <w:tcPr>
            <w:tcW w:w="351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DB2A6C8" w14:textId="77777777" w:rsidR="0019025B" w:rsidRPr="00E0519F" w:rsidRDefault="0019025B">
            <w:pPr>
              <w:rPr>
                <w:sz w:val="24"/>
                <w:szCs w:val="24"/>
              </w:rPr>
            </w:pPr>
            <w:r>
              <w:rPr>
                <w:sz w:val="24"/>
                <w:szCs w:val="24"/>
              </w:rPr>
              <w:t>Develop and publish</w:t>
            </w:r>
            <w:r w:rsidRPr="00E0519F">
              <w:rPr>
                <w:sz w:val="24"/>
                <w:szCs w:val="24"/>
              </w:rPr>
              <w:t xml:space="preserve"> </w:t>
            </w:r>
            <w:r w:rsidRPr="00E0519F">
              <w:rPr>
                <w:b/>
                <w:bCs/>
                <w:sz w:val="24"/>
                <w:szCs w:val="24"/>
              </w:rPr>
              <w:t xml:space="preserve">Position document </w:t>
            </w:r>
            <w:r w:rsidRPr="00E0519F">
              <w:rPr>
                <w:sz w:val="24"/>
                <w:szCs w:val="24"/>
              </w:rPr>
              <w:t>focused on siting processes, known challenges</w:t>
            </w:r>
            <w:r>
              <w:rPr>
                <w:sz w:val="24"/>
                <w:szCs w:val="24"/>
              </w:rPr>
              <w:t xml:space="preserve"> to equitable siting processes</w:t>
            </w:r>
            <w:r w:rsidRPr="00E0519F">
              <w:rPr>
                <w:sz w:val="24"/>
                <w:szCs w:val="24"/>
              </w:rPr>
              <w:t>, and action plan for policy maker engagement</w:t>
            </w:r>
            <w:r>
              <w:rPr>
                <w:sz w:val="24"/>
                <w:szCs w:val="24"/>
              </w:rPr>
              <w:t xml:space="preserve"> with a goal of eliminating or limiting identified roadblocks.</w:t>
            </w:r>
          </w:p>
        </w:tc>
        <w:tc>
          <w:tcPr>
            <w:tcW w:w="3033" w:type="dxa"/>
            <w:tcBorders>
              <w:top w:val="single" w:sz="8" w:space="0" w:color="FFFFFF"/>
              <w:left w:val="single" w:sz="8" w:space="0" w:color="FFFFFF"/>
              <w:bottom w:val="single" w:sz="8" w:space="0" w:color="FFFFFF"/>
              <w:right w:val="single" w:sz="8" w:space="0" w:color="FFFFFF"/>
            </w:tcBorders>
            <w:shd w:val="clear" w:color="auto" w:fill="EAEFF7"/>
          </w:tcPr>
          <w:p w14:paraId="09B520E0" w14:textId="77777777" w:rsidR="0019025B" w:rsidRDefault="0019025B">
            <w:pPr>
              <w:rPr>
                <w:sz w:val="24"/>
                <w:szCs w:val="24"/>
              </w:rPr>
            </w:pPr>
          </w:p>
        </w:tc>
      </w:tr>
      <w:tr w:rsidR="0019025B" w:rsidRPr="00E0519F" w14:paraId="1E2EE8F6" w14:textId="77777777">
        <w:trPr>
          <w:trHeight w:val="584"/>
        </w:trPr>
        <w:tc>
          <w:tcPr>
            <w:tcW w:w="279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29E50C" w14:textId="77777777" w:rsidR="0019025B" w:rsidRPr="00E0519F" w:rsidRDefault="0019025B">
            <w:pPr>
              <w:rPr>
                <w:sz w:val="24"/>
                <w:szCs w:val="24"/>
              </w:rPr>
            </w:pPr>
            <w:r w:rsidRPr="00E0519F">
              <w:rPr>
                <w:b/>
                <w:bCs/>
                <w:sz w:val="24"/>
                <w:szCs w:val="24"/>
              </w:rPr>
              <w:t>TR7:      Facilitate the Development of Microgrids</w:t>
            </w:r>
          </w:p>
        </w:tc>
        <w:tc>
          <w:tcPr>
            <w:tcW w:w="351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544A718" w14:textId="77777777" w:rsidR="0019025B" w:rsidRDefault="0019025B">
            <w:pPr>
              <w:rPr>
                <w:sz w:val="24"/>
                <w:szCs w:val="24"/>
              </w:rPr>
            </w:pPr>
            <w:r>
              <w:rPr>
                <w:b/>
                <w:bCs/>
                <w:sz w:val="24"/>
                <w:szCs w:val="24"/>
              </w:rPr>
              <w:t xml:space="preserve">Develop Microgrid </w:t>
            </w:r>
            <w:r w:rsidRPr="00E0519F">
              <w:rPr>
                <w:b/>
                <w:bCs/>
                <w:sz w:val="24"/>
                <w:szCs w:val="24"/>
              </w:rPr>
              <w:t xml:space="preserve">Requirements document </w:t>
            </w:r>
            <w:r w:rsidRPr="00E0519F">
              <w:rPr>
                <w:sz w:val="24"/>
                <w:szCs w:val="24"/>
              </w:rPr>
              <w:t>that includes</w:t>
            </w:r>
            <w:r>
              <w:rPr>
                <w:sz w:val="24"/>
                <w:szCs w:val="24"/>
              </w:rPr>
              <w:t>:</w:t>
            </w:r>
          </w:p>
          <w:p w14:paraId="45CB243A" w14:textId="77777777" w:rsidR="0019025B" w:rsidRDefault="0019025B" w:rsidP="0019025B">
            <w:pPr>
              <w:pStyle w:val="ListParagraph"/>
              <w:numPr>
                <w:ilvl w:val="0"/>
                <w:numId w:val="13"/>
              </w:numPr>
              <w:tabs>
                <w:tab w:val="clear" w:pos="2431"/>
              </w:tabs>
              <w:spacing w:after="160" w:line="259" w:lineRule="auto"/>
              <w:contextualSpacing/>
              <w:rPr>
                <w:sz w:val="24"/>
                <w:szCs w:val="24"/>
              </w:rPr>
            </w:pPr>
            <w:r>
              <w:rPr>
                <w:sz w:val="24"/>
                <w:szCs w:val="24"/>
              </w:rPr>
              <w:t xml:space="preserve">Microgrid </w:t>
            </w:r>
            <w:r w:rsidRPr="003B6477">
              <w:rPr>
                <w:sz w:val="24"/>
                <w:szCs w:val="24"/>
              </w:rPr>
              <w:t>definition</w:t>
            </w:r>
          </w:p>
          <w:p w14:paraId="1D399D1D" w14:textId="77777777" w:rsidR="0019025B" w:rsidRDefault="0019025B" w:rsidP="0019025B">
            <w:pPr>
              <w:pStyle w:val="ListParagraph"/>
              <w:numPr>
                <w:ilvl w:val="0"/>
                <w:numId w:val="13"/>
              </w:numPr>
              <w:tabs>
                <w:tab w:val="clear" w:pos="2431"/>
              </w:tabs>
              <w:spacing w:after="160" w:line="259" w:lineRule="auto"/>
              <w:contextualSpacing/>
              <w:rPr>
                <w:sz w:val="24"/>
                <w:szCs w:val="24"/>
              </w:rPr>
            </w:pPr>
            <w:r w:rsidRPr="003B6477">
              <w:rPr>
                <w:sz w:val="24"/>
                <w:szCs w:val="24"/>
              </w:rPr>
              <w:t>metrics of measurement for reliability and resilienc</w:t>
            </w:r>
            <w:r>
              <w:rPr>
                <w:sz w:val="24"/>
                <w:szCs w:val="24"/>
              </w:rPr>
              <w:t>y</w:t>
            </w:r>
          </w:p>
          <w:p w14:paraId="464D256C" w14:textId="77777777" w:rsidR="0019025B" w:rsidRDefault="0019025B" w:rsidP="0019025B">
            <w:pPr>
              <w:pStyle w:val="ListParagraph"/>
              <w:numPr>
                <w:ilvl w:val="0"/>
                <w:numId w:val="13"/>
              </w:numPr>
              <w:tabs>
                <w:tab w:val="clear" w:pos="2431"/>
              </w:tabs>
              <w:spacing w:after="160" w:line="259" w:lineRule="auto"/>
              <w:contextualSpacing/>
              <w:rPr>
                <w:sz w:val="24"/>
                <w:szCs w:val="24"/>
              </w:rPr>
            </w:pPr>
            <w:r w:rsidRPr="003B6477">
              <w:rPr>
                <w:sz w:val="24"/>
                <w:szCs w:val="24"/>
              </w:rPr>
              <w:t xml:space="preserve">identification </w:t>
            </w:r>
            <w:r>
              <w:rPr>
                <w:sz w:val="24"/>
                <w:szCs w:val="24"/>
              </w:rPr>
              <w:t>of areas in SPP region that fit the definition</w:t>
            </w:r>
          </w:p>
          <w:p w14:paraId="18A16971" w14:textId="77777777" w:rsidR="0019025B" w:rsidRDefault="0019025B" w:rsidP="0019025B">
            <w:pPr>
              <w:pStyle w:val="ListParagraph"/>
              <w:numPr>
                <w:ilvl w:val="0"/>
                <w:numId w:val="13"/>
              </w:numPr>
              <w:tabs>
                <w:tab w:val="clear" w:pos="2431"/>
              </w:tabs>
              <w:spacing w:after="160" w:line="259" w:lineRule="auto"/>
              <w:contextualSpacing/>
              <w:rPr>
                <w:sz w:val="24"/>
                <w:szCs w:val="24"/>
              </w:rPr>
            </w:pPr>
            <w:r>
              <w:rPr>
                <w:sz w:val="24"/>
                <w:szCs w:val="24"/>
              </w:rPr>
              <w:lastRenderedPageBreak/>
              <w:t>Required changes in transmission planning to enable enhancement within each microgrid</w:t>
            </w:r>
          </w:p>
          <w:p w14:paraId="0356D94A" w14:textId="77777777" w:rsidR="0019025B" w:rsidRPr="003B6477" w:rsidRDefault="0019025B" w:rsidP="0019025B">
            <w:pPr>
              <w:pStyle w:val="ListParagraph"/>
              <w:numPr>
                <w:ilvl w:val="0"/>
                <w:numId w:val="13"/>
              </w:numPr>
              <w:tabs>
                <w:tab w:val="clear" w:pos="2431"/>
              </w:tabs>
              <w:spacing w:after="160" w:line="259" w:lineRule="auto"/>
              <w:contextualSpacing/>
              <w:rPr>
                <w:sz w:val="24"/>
                <w:szCs w:val="24"/>
              </w:rPr>
            </w:pPr>
            <w:r>
              <w:rPr>
                <w:sz w:val="24"/>
                <w:szCs w:val="24"/>
              </w:rPr>
              <w:t>Transmission planning requirements and needs between microgrids</w:t>
            </w:r>
          </w:p>
        </w:tc>
        <w:tc>
          <w:tcPr>
            <w:tcW w:w="3033" w:type="dxa"/>
            <w:tcBorders>
              <w:top w:val="single" w:sz="8" w:space="0" w:color="FFFFFF"/>
              <w:left w:val="single" w:sz="8" w:space="0" w:color="FFFFFF"/>
              <w:bottom w:val="single" w:sz="8" w:space="0" w:color="FFFFFF"/>
              <w:right w:val="single" w:sz="8" w:space="0" w:color="FFFFFF"/>
            </w:tcBorders>
            <w:shd w:val="clear" w:color="auto" w:fill="D2DEEF"/>
          </w:tcPr>
          <w:p w14:paraId="35DA9911" w14:textId="77777777" w:rsidR="0019025B" w:rsidRDefault="0019025B">
            <w:pPr>
              <w:rPr>
                <w:b/>
                <w:bCs/>
                <w:sz w:val="24"/>
                <w:szCs w:val="24"/>
              </w:rPr>
            </w:pPr>
          </w:p>
        </w:tc>
      </w:tr>
    </w:tbl>
    <w:p w14:paraId="08ABD94C" w14:textId="77777777" w:rsidR="0019025B" w:rsidRPr="00A75ECD" w:rsidRDefault="0019025B" w:rsidP="0019025B"/>
    <w:p w14:paraId="617381A2" w14:textId="77777777" w:rsidR="009A04DC" w:rsidRPr="006102D6" w:rsidRDefault="009A04DC" w:rsidP="00F45448"/>
    <w:sectPr w:rsidR="009A04DC" w:rsidRPr="006102D6" w:rsidSect="003D7CD1">
      <w:headerReference w:type="default" r:id="rId20"/>
      <w:footerReference w:type="even" r:id="rId21"/>
      <w:footerReference w:type="defaul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B735" w14:textId="77777777" w:rsidR="000E556A" w:rsidRDefault="000E556A" w:rsidP="009A533B">
      <w:r>
        <w:separator/>
      </w:r>
    </w:p>
  </w:endnote>
  <w:endnote w:type="continuationSeparator" w:id="0">
    <w:p w14:paraId="3C1213AA" w14:textId="77777777" w:rsidR="000E556A" w:rsidRDefault="000E556A" w:rsidP="009A533B">
      <w:r>
        <w:continuationSeparator/>
      </w:r>
    </w:p>
  </w:endnote>
  <w:endnote w:type="continuationNotice" w:id="1">
    <w:p w14:paraId="57B96FD5" w14:textId="77777777" w:rsidR="000E556A" w:rsidRDefault="000E5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Bold">
    <w:altName w:val="Segoe UI"/>
    <w:panose1 w:val="020B0802040204020203"/>
    <w:charset w:val="00"/>
    <w:family w:val="roman"/>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F8750" w14:textId="7FCC0C12" w:rsidR="00A254E5" w:rsidRDefault="00A2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F0C6" w14:textId="0A9AF697" w:rsidR="00413D5D" w:rsidRDefault="00413D5D" w:rsidP="004C6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8318" w14:textId="47004EF5" w:rsidR="00A254E5" w:rsidRDefault="00A25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82A7" w14:textId="7AB12214" w:rsidR="00A254E5" w:rsidRDefault="00A254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1241" w14:textId="364E5AA3" w:rsidR="00A254E5" w:rsidRDefault="00A254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4505" w14:textId="770D6A19" w:rsidR="00A254E5" w:rsidRDefault="00A254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C9F4" w14:textId="438D5D62" w:rsidR="00A254E5" w:rsidRDefault="00A254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17AF" w14:textId="67124B89" w:rsidR="00413D5D" w:rsidRPr="00BE344A" w:rsidRDefault="00530CDD" w:rsidP="004C64D7">
    <w:pPr>
      <w:pStyle w:val="Footer"/>
    </w:pPr>
    <w:r>
      <w:t>Grid of the Future 2024</w:t>
    </w:r>
    <w:r w:rsidR="007C0B04">
      <w:t xml:space="preserve"> Adde</w:t>
    </w:r>
    <w:r>
      <w:t>ndum</w:t>
    </w:r>
    <w:r w:rsidR="00413D5D" w:rsidRPr="00BE344A">
      <w:tab/>
    </w:r>
    <w:r w:rsidR="00E9663D">
      <w:t xml:space="preserve">Publication DATE/Version </w:t>
    </w:r>
    <w:r w:rsidR="006C7FB9">
      <w:t>0.</w:t>
    </w:r>
    <w:r w:rsidR="005A01C0">
      <w:t>5</w:t>
    </w:r>
    <w:r w:rsidR="00413D5D" w:rsidRPr="00BE344A">
      <w:tab/>
    </w:r>
    <w:r w:rsidR="00413D5D" w:rsidRPr="00BE344A">
      <w:fldChar w:fldCharType="begin"/>
    </w:r>
    <w:r w:rsidR="00413D5D" w:rsidRPr="00BE344A">
      <w:instrText xml:space="preserve"> PAGE   \* MERGEFORMAT </w:instrText>
    </w:r>
    <w:r w:rsidR="00413D5D" w:rsidRPr="00BE344A">
      <w:fldChar w:fldCharType="separate"/>
    </w:r>
    <w:r w:rsidR="00102B11">
      <w:rPr>
        <w:noProof/>
      </w:rPr>
      <w:t>1</w:t>
    </w:r>
    <w:r w:rsidR="00413D5D" w:rsidRPr="00BE344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1C94" w14:textId="25701253" w:rsidR="00A254E5" w:rsidRDefault="00A2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84F2" w14:textId="77777777" w:rsidR="000E556A" w:rsidRDefault="000E556A" w:rsidP="009A533B">
      <w:r>
        <w:separator/>
      </w:r>
    </w:p>
  </w:footnote>
  <w:footnote w:type="continuationSeparator" w:id="0">
    <w:p w14:paraId="5B9829D7" w14:textId="77777777" w:rsidR="000E556A" w:rsidRDefault="000E556A" w:rsidP="009A533B">
      <w:r>
        <w:continuationSeparator/>
      </w:r>
    </w:p>
  </w:footnote>
  <w:footnote w:type="continuationNotice" w:id="1">
    <w:p w14:paraId="0437E38E" w14:textId="77777777" w:rsidR="000E556A" w:rsidRDefault="000E556A">
      <w:pPr>
        <w:spacing w:after="0"/>
      </w:pPr>
    </w:p>
  </w:footnote>
  <w:footnote w:id="2">
    <w:p w14:paraId="207D67E8" w14:textId="77777777" w:rsidR="002F37C8" w:rsidRDefault="002F37C8" w:rsidP="002F37C8">
      <w:pPr>
        <w:pStyle w:val="FootnoteText"/>
      </w:pPr>
      <w:r>
        <w:rPr>
          <w:rStyle w:val="FootnoteReference"/>
        </w:rPr>
        <w:footnoteRef/>
      </w:r>
      <w:r>
        <w:t xml:space="preserve"> </w:t>
      </w:r>
      <w:r w:rsidRPr="00415AF9">
        <w:t>“Grid-Enhancing Technologies: A Case Study on Ratepayer Impact”, US DOE report, Feb. 2022</w:t>
      </w:r>
    </w:p>
  </w:footnote>
  <w:footnote w:id="3">
    <w:p w14:paraId="3E1332D3" w14:textId="77777777" w:rsidR="002F37C8" w:rsidRDefault="002F37C8" w:rsidP="002F37C8">
      <w:pPr>
        <w:pStyle w:val="FootnoteText"/>
      </w:pPr>
      <w:r>
        <w:rPr>
          <w:rStyle w:val="FootnoteReference"/>
        </w:rPr>
        <w:footnoteRef/>
      </w:r>
      <w:r>
        <w:t xml:space="preserve"> Undesired energy exchange between electrical and mechanical systems</w:t>
      </w:r>
    </w:p>
  </w:footnote>
  <w:footnote w:id="4">
    <w:p w14:paraId="0191AA10" w14:textId="77777777" w:rsidR="002F37C8" w:rsidRDefault="002F37C8" w:rsidP="002F37C8">
      <w:pPr>
        <w:pStyle w:val="FootnoteText"/>
      </w:pPr>
      <w:r>
        <w:rPr>
          <w:rStyle w:val="FootnoteReference"/>
        </w:rPr>
        <w:footnoteRef/>
      </w:r>
      <w:r>
        <w:t xml:space="preserve"> </w:t>
      </w:r>
      <w:r w:rsidRPr="00844608">
        <w:t>https://www.ferc.gov/sites/default/files/2020-06/W3-1_Ruiz_et_al.pdf</w:t>
      </w:r>
    </w:p>
  </w:footnote>
  <w:footnote w:id="5">
    <w:p w14:paraId="7E876E0B" w14:textId="77777777" w:rsidR="002F37C8" w:rsidRDefault="002F37C8" w:rsidP="002F37C8">
      <w:pPr>
        <w:pStyle w:val="FootnoteText"/>
      </w:pPr>
      <w:r>
        <w:rPr>
          <w:rStyle w:val="FootnoteReference"/>
        </w:rPr>
        <w:footnoteRef/>
      </w:r>
      <w:r>
        <w:t xml:space="preserve"> </w:t>
      </w:r>
      <w:r w:rsidRPr="00844608">
        <w:t>https://ieeexplore.ieee.org/document/10520486</w:t>
      </w:r>
    </w:p>
  </w:footnote>
  <w:footnote w:id="6">
    <w:p w14:paraId="7E9477DC" w14:textId="77777777" w:rsidR="006E00BC" w:rsidRDefault="006E00BC" w:rsidP="006E00BC">
      <w:pPr>
        <w:pStyle w:val="FootnoteText"/>
        <w:jc w:val="both"/>
        <w:rPr>
          <w:rFonts w:ascii="Times New Roman" w:hAnsi="Times New Roman" w:cs="Times New Roman"/>
          <w:sz w:val="24"/>
          <w:szCs w:val="24"/>
        </w:rPr>
      </w:pPr>
      <w:r w:rsidRPr="00D30385">
        <w:rPr>
          <w:rStyle w:val="FootnoteReference"/>
          <w:rFonts w:ascii="Times New Roman" w:hAnsi="Times New Roman" w:cs="Times New Roman"/>
          <w:sz w:val="24"/>
          <w:szCs w:val="24"/>
        </w:rPr>
        <w:footnoteRef/>
      </w:r>
      <w:r w:rsidRPr="00D30385">
        <w:rPr>
          <w:rFonts w:ascii="Times New Roman" w:hAnsi="Times New Roman" w:cs="Times New Roman"/>
          <w:sz w:val="24"/>
          <w:szCs w:val="24"/>
        </w:rPr>
        <w:t xml:space="preserve"> New Source Performance Standards: Greenhouse Gas Emissions From New, Modified, and Reconstructed Fossil Fuel-Fired Electric Generating Units; Emission Guidelines for Greenhouse Gas Emissions From Existing Fossil Fuel-Fired Electric Generating Units; and Repeal of the Affordable Clean Energy Rule. 89 Fed. Reg. 39798.</w:t>
      </w:r>
    </w:p>
    <w:p w14:paraId="20C731A1" w14:textId="77777777" w:rsidR="006E00BC" w:rsidRPr="00D30385" w:rsidRDefault="006E00BC" w:rsidP="006E00BC">
      <w:pPr>
        <w:pStyle w:val="FootnoteText"/>
        <w:jc w:val="both"/>
        <w:rPr>
          <w:rFonts w:ascii="Times New Roman" w:hAnsi="Times New Roman" w:cs="Times New Roman"/>
          <w:sz w:val="24"/>
          <w:szCs w:val="24"/>
        </w:rPr>
      </w:pPr>
    </w:p>
  </w:footnote>
  <w:footnote w:id="7">
    <w:p w14:paraId="14C7A6F6" w14:textId="77777777" w:rsidR="006E00BC" w:rsidRPr="00D30385" w:rsidRDefault="006E00BC" w:rsidP="006E00BC">
      <w:pPr>
        <w:jc w:val="both"/>
        <w:rPr>
          <w:rFonts w:ascii="Times New Roman" w:hAnsi="Times New Roman" w:cs="Times New Roman"/>
        </w:rPr>
      </w:pPr>
      <w:r w:rsidRPr="00D30385">
        <w:rPr>
          <w:rStyle w:val="FootnoteReference"/>
          <w:rFonts w:ascii="Times New Roman" w:hAnsi="Times New Roman" w:cs="Times New Roman"/>
        </w:rPr>
        <w:footnoteRef/>
      </w:r>
      <w:r w:rsidRPr="00D30385">
        <w:rPr>
          <w:rFonts w:ascii="Times New Roman" w:hAnsi="Times New Roman" w:cs="Times New Roman"/>
        </w:rPr>
        <w:t xml:space="preserve"> The CAA requires the EPA to base emissions limits on what the EPA determines is the best system of emission reductions (“BSER”).</w:t>
      </w:r>
    </w:p>
    <w:p w14:paraId="4A5CEB0E" w14:textId="77777777" w:rsidR="006E00BC" w:rsidRDefault="006E00BC" w:rsidP="006E00BC">
      <w:pPr>
        <w:pStyle w:val="FootnoteText"/>
      </w:pPr>
    </w:p>
  </w:footnote>
  <w:footnote w:id="8">
    <w:p w14:paraId="69B2610F" w14:textId="77777777" w:rsidR="006E00BC" w:rsidRPr="00280114" w:rsidRDefault="006E00BC" w:rsidP="006E00BC">
      <w:pPr>
        <w:pStyle w:val="FootnoteText"/>
        <w:jc w:val="both"/>
        <w:rPr>
          <w:rFonts w:ascii="Times New Roman" w:hAnsi="Times New Roman" w:cs="Times New Roman"/>
          <w:sz w:val="22"/>
          <w:szCs w:val="22"/>
        </w:rPr>
      </w:pPr>
      <w:r w:rsidRPr="00280114">
        <w:rPr>
          <w:rStyle w:val="FootnoteReference"/>
          <w:rFonts w:ascii="Times New Roman" w:hAnsi="Times New Roman" w:cs="Times New Roman"/>
          <w:sz w:val="22"/>
          <w:szCs w:val="22"/>
        </w:rPr>
        <w:footnoteRef/>
      </w:r>
      <w:r w:rsidRPr="00280114">
        <w:rPr>
          <w:rFonts w:ascii="Times New Roman" w:hAnsi="Times New Roman" w:cs="Times New Roman"/>
          <w:sz w:val="22"/>
          <w:szCs w:val="22"/>
        </w:rPr>
        <w:tab/>
        <w:t xml:space="preserve">Deese, Brian. “The Next Front in the War Against Climate Change.” </w:t>
      </w:r>
      <w:r w:rsidRPr="00280114">
        <w:rPr>
          <w:rFonts w:ascii="Times New Roman" w:hAnsi="Times New Roman" w:cs="Times New Roman"/>
          <w:i/>
          <w:iCs/>
          <w:sz w:val="22"/>
          <w:szCs w:val="22"/>
        </w:rPr>
        <w:t>The Atlantic</w:t>
      </w:r>
      <w:r w:rsidRPr="00280114">
        <w:rPr>
          <w:rFonts w:ascii="Times New Roman" w:hAnsi="Times New Roman" w:cs="Times New Roman"/>
          <w:sz w:val="22"/>
          <w:szCs w:val="22"/>
        </w:rPr>
        <w:t xml:space="preserve">, May 24, 2024. </w:t>
      </w:r>
    </w:p>
    <w:p w14:paraId="7B4268A4" w14:textId="77777777" w:rsidR="006E00BC" w:rsidRPr="00D22A51" w:rsidRDefault="006E00BC" w:rsidP="006E00BC">
      <w:pPr>
        <w:pStyle w:val="FootnoteText"/>
        <w:jc w:val="both"/>
        <w:rPr>
          <w:rFonts w:ascii="Times New Roman" w:hAnsi="Times New Roman" w:cs="Times New Roman"/>
          <w:sz w:val="24"/>
          <w:szCs w:val="24"/>
        </w:rPr>
      </w:pPr>
    </w:p>
  </w:footnote>
  <w:footnote w:id="9">
    <w:p w14:paraId="3DB566DF" w14:textId="77777777" w:rsidR="006E00BC" w:rsidRDefault="006E00BC" w:rsidP="006E00BC">
      <w:pPr>
        <w:pStyle w:val="FootnoteText"/>
        <w:jc w:val="both"/>
        <w:rPr>
          <w:rFonts w:ascii="Times New Roman" w:hAnsi="Times New Roman" w:cs="Times New Roman"/>
          <w:sz w:val="24"/>
          <w:szCs w:val="24"/>
        </w:rPr>
      </w:pPr>
      <w:r w:rsidRPr="00D22A51">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ab/>
        <w:t xml:space="preserve">Plumer, Brad. “Here’s Where Biden’s Climate Law is Working, and Where It’s Falling Short.” </w:t>
      </w:r>
      <w:r w:rsidRPr="00B516E3">
        <w:rPr>
          <w:rFonts w:ascii="Times New Roman" w:hAnsi="Times New Roman" w:cs="Times New Roman"/>
          <w:i/>
          <w:iCs/>
          <w:sz w:val="24"/>
          <w:szCs w:val="24"/>
        </w:rPr>
        <w:t>The New York Times</w:t>
      </w:r>
      <w:r>
        <w:rPr>
          <w:rFonts w:ascii="Times New Roman" w:hAnsi="Times New Roman" w:cs="Times New Roman"/>
          <w:sz w:val="24"/>
          <w:szCs w:val="24"/>
        </w:rPr>
        <w:t xml:space="preserve">, February 21, 2024. </w:t>
      </w:r>
    </w:p>
    <w:p w14:paraId="73384643" w14:textId="77777777" w:rsidR="006E00BC" w:rsidRPr="00D22A51" w:rsidRDefault="006E00BC" w:rsidP="006E00BC">
      <w:pPr>
        <w:pStyle w:val="FootnoteText"/>
        <w:jc w:val="both"/>
        <w:rPr>
          <w:rFonts w:ascii="Times New Roman" w:hAnsi="Times New Roman" w:cs="Times New Roman"/>
          <w:sz w:val="24"/>
          <w:szCs w:val="24"/>
        </w:rPr>
      </w:pPr>
    </w:p>
  </w:footnote>
  <w:footnote w:id="10">
    <w:p w14:paraId="50EC5C98" w14:textId="77777777" w:rsidR="006E00BC" w:rsidRDefault="006E00BC" w:rsidP="006E00BC">
      <w:pPr>
        <w:pStyle w:val="FootnoteText"/>
        <w:jc w:val="both"/>
        <w:rPr>
          <w:rFonts w:ascii="Times New Roman" w:hAnsi="Times New Roman" w:cs="Times New Roman"/>
          <w:sz w:val="24"/>
          <w:szCs w:val="24"/>
        </w:rPr>
      </w:pPr>
      <w:r w:rsidRPr="00D22A51">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rPr>
        <w:tab/>
      </w:r>
      <w:r w:rsidRPr="00CE6203">
        <w:rPr>
          <w:rFonts w:ascii="Times New Roman" w:hAnsi="Times New Roman" w:cs="Times New Roman"/>
          <w:i/>
          <w:iCs/>
          <w:sz w:val="24"/>
          <w:szCs w:val="24"/>
        </w:rPr>
        <w:t>Id</w:t>
      </w:r>
      <w:r>
        <w:rPr>
          <w:rFonts w:ascii="Times New Roman" w:hAnsi="Times New Roman" w:cs="Times New Roman"/>
          <w:sz w:val="24"/>
          <w:szCs w:val="24"/>
        </w:rPr>
        <w:t xml:space="preserve">. </w:t>
      </w:r>
    </w:p>
    <w:p w14:paraId="16A90E69" w14:textId="77777777" w:rsidR="006E00BC" w:rsidRPr="00D22A51" w:rsidRDefault="006E00BC" w:rsidP="006E00BC">
      <w:pPr>
        <w:pStyle w:val="FootnoteText"/>
        <w:jc w:val="both"/>
        <w:rPr>
          <w:rFonts w:ascii="Times New Roman" w:hAnsi="Times New Roman" w:cs="Times New Roman"/>
          <w:sz w:val="24"/>
          <w:szCs w:val="24"/>
        </w:rPr>
      </w:pPr>
    </w:p>
  </w:footnote>
  <w:footnote w:id="11">
    <w:p w14:paraId="6E9A87CA" w14:textId="77777777" w:rsidR="006E00BC" w:rsidRDefault="006E00BC" w:rsidP="006E00BC">
      <w:pPr>
        <w:pStyle w:val="FootnoteText"/>
        <w:jc w:val="both"/>
        <w:rPr>
          <w:rFonts w:ascii="Times New Roman" w:hAnsi="Times New Roman" w:cs="Times New Roman"/>
          <w:sz w:val="24"/>
          <w:szCs w:val="24"/>
        </w:rPr>
      </w:pPr>
      <w:r w:rsidRPr="00D22A51">
        <w:rPr>
          <w:rStyle w:val="FootnoteReference"/>
          <w:rFonts w:ascii="Times New Roman" w:hAnsi="Times New Roman" w:cs="Times New Roman"/>
          <w:sz w:val="24"/>
          <w:szCs w:val="24"/>
        </w:rPr>
        <w:footnoteRef/>
      </w:r>
      <w:r w:rsidRPr="00D22A51">
        <w:rPr>
          <w:rFonts w:ascii="Times New Roman" w:hAnsi="Times New Roman" w:cs="Times New Roman"/>
          <w:sz w:val="24"/>
          <w:szCs w:val="24"/>
        </w:rPr>
        <w:t xml:space="preserve"> </w:t>
      </w:r>
      <w:r>
        <w:rPr>
          <w:rFonts w:ascii="Times New Roman" w:hAnsi="Times New Roman" w:cs="Times New Roman"/>
          <w:sz w:val="24"/>
          <w:szCs w:val="24"/>
        </w:rPr>
        <w:tab/>
      </w:r>
      <w:r w:rsidRPr="00CE6203">
        <w:rPr>
          <w:rFonts w:ascii="Times New Roman" w:hAnsi="Times New Roman" w:cs="Times New Roman"/>
          <w:i/>
          <w:iCs/>
          <w:sz w:val="24"/>
          <w:szCs w:val="24"/>
        </w:rPr>
        <w:t>Id</w:t>
      </w:r>
      <w:r>
        <w:rPr>
          <w:rFonts w:ascii="Times New Roman" w:hAnsi="Times New Roman" w:cs="Times New Roman"/>
          <w:sz w:val="24"/>
          <w:szCs w:val="24"/>
        </w:rPr>
        <w:t xml:space="preserve">. </w:t>
      </w:r>
    </w:p>
    <w:p w14:paraId="395852AF" w14:textId="77777777" w:rsidR="006E00BC" w:rsidRPr="00D22A51" w:rsidRDefault="006E00BC" w:rsidP="006E00BC">
      <w:pPr>
        <w:pStyle w:val="FootnoteText"/>
        <w:jc w:val="both"/>
        <w:rPr>
          <w:rFonts w:ascii="Times New Roman" w:hAnsi="Times New Roman" w:cs="Times New Roman"/>
          <w:sz w:val="24"/>
          <w:szCs w:val="24"/>
        </w:rPr>
      </w:pPr>
    </w:p>
  </w:footnote>
  <w:footnote w:id="12">
    <w:p w14:paraId="0C68D89F" w14:textId="77777777" w:rsidR="006E00BC" w:rsidRDefault="006E00BC" w:rsidP="006E00BC">
      <w:pPr>
        <w:pStyle w:val="FootnoteText"/>
        <w:jc w:val="both"/>
        <w:rPr>
          <w:rFonts w:ascii="Times New Roman" w:hAnsi="Times New Roman" w:cs="Times New Roman"/>
          <w:sz w:val="24"/>
          <w:szCs w:val="24"/>
        </w:rPr>
      </w:pPr>
      <w:r w:rsidRPr="00D22A51">
        <w:rPr>
          <w:rStyle w:val="FootnoteReference"/>
          <w:rFonts w:ascii="Times New Roman" w:hAnsi="Times New Roman" w:cs="Times New Roman"/>
          <w:sz w:val="24"/>
          <w:szCs w:val="24"/>
        </w:rPr>
        <w:footnoteRef/>
      </w:r>
      <w:r>
        <w:rPr>
          <w:rFonts w:ascii="Times New Roman" w:hAnsi="Times New Roman" w:cs="Times New Roman"/>
          <w:sz w:val="24"/>
          <w:szCs w:val="24"/>
        </w:rPr>
        <w:tab/>
        <w:t xml:space="preserve">Kaufmann, K. “Biden Double Down on Support for U.S. Solar Manufacturing.” </w:t>
      </w:r>
      <w:r w:rsidRPr="00D575D9">
        <w:rPr>
          <w:rFonts w:ascii="Times New Roman" w:hAnsi="Times New Roman" w:cs="Times New Roman"/>
          <w:i/>
          <w:iCs/>
          <w:sz w:val="24"/>
          <w:szCs w:val="24"/>
        </w:rPr>
        <w:t>RTO Insider</w:t>
      </w:r>
      <w:r>
        <w:rPr>
          <w:rFonts w:ascii="Times New Roman" w:hAnsi="Times New Roman" w:cs="Times New Roman"/>
          <w:sz w:val="24"/>
          <w:szCs w:val="24"/>
        </w:rPr>
        <w:t xml:space="preserve">, May 19, 2024, </w:t>
      </w:r>
      <w:hyperlink r:id="rId1" w:history="1">
        <w:r w:rsidRPr="002332B5">
          <w:rPr>
            <w:rStyle w:val="Hyperlink"/>
            <w:rFonts w:ascii="Times New Roman" w:hAnsi="Times New Roman" w:cs="Times New Roman"/>
            <w:sz w:val="24"/>
            <w:szCs w:val="24"/>
          </w:rPr>
          <w:t>https://www.rtoinsider.com/78849-biden-doubles-down-suport-us-solar-manufacturing/</w:t>
        </w:r>
      </w:hyperlink>
      <w:r>
        <w:rPr>
          <w:rFonts w:ascii="Times New Roman" w:hAnsi="Times New Roman" w:cs="Times New Roman"/>
          <w:sz w:val="24"/>
          <w:szCs w:val="24"/>
        </w:rPr>
        <w:t xml:space="preserve">. </w:t>
      </w:r>
    </w:p>
    <w:p w14:paraId="2D4B0575" w14:textId="77777777" w:rsidR="006E00BC" w:rsidRPr="00D22A51" w:rsidRDefault="006E00BC" w:rsidP="006E00BC">
      <w:pPr>
        <w:pStyle w:val="FootnoteText"/>
        <w:jc w:val="both"/>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C628" w14:textId="77777777" w:rsidR="00413D5D" w:rsidRPr="00BE344A" w:rsidRDefault="00413D5D" w:rsidP="00557CED">
    <w:pPr>
      <w:pStyle w:val="Header"/>
    </w:pPr>
    <w:r w:rsidRPr="00BE344A">
      <w:t>Southwest Power Pool, Inc.</w:t>
    </w:r>
    <w:r w:rsidRPr="00BE344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8410" w14:textId="77777777" w:rsidR="00413D5D" w:rsidRDefault="00413D5D" w:rsidP="00557CED">
    <w:pPr>
      <w:pStyle w:val="Header"/>
    </w:pPr>
    <w:r>
      <w:t>Southwest Power Pool,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9027" w14:textId="77777777" w:rsidR="00413D5D" w:rsidRDefault="00413D5D" w:rsidP="00557CED">
    <w:pPr>
      <w:pStyle w:val="Header"/>
    </w:pPr>
    <w:r>
      <w:t xml:space="preserve">Southwest </w:t>
    </w:r>
    <w:r w:rsidRPr="00557CED">
      <w:t>Power</w:t>
    </w:r>
    <w:r>
      <w:t xml:space="preserve"> Pool, Inc.</w:t>
    </w:r>
    <w:r>
      <w:tab/>
      <w:t>Name of Current Section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B9B"/>
    <w:multiLevelType w:val="hybridMultilevel"/>
    <w:tmpl w:val="48649FBE"/>
    <w:lvl w:ilvl="0" w:tplc="0A4088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A4A"/>
    <w:multiLevelType w:val="hybridMultilevel"/>
    <w:tmpl w:val="EBACCC46"/>
    <w:lvl w:ilvl="0" w:tplc="0DBE6E74">
      <w:start w:val="1"/>
      <w:numFmt w:val="bullet"/>
      <w:lvlText w:val="•"/>
      <w:lvlJc w:val="left"/>
      <w:pPr>
        <w:tabs>
          <w:tab w:val="num" w:pos="720"/>
        </w:tabs>
        <w:ind w:left="720" w:hanging="360"/>
      </w:pPr>
      <w:rPr>
        <w:rFonts w:ascii="Arial" w:hAnsi="Arial" w:hint="default"/>
      </w:rPr>
    </w:lvl>
    <w:lvl w:ilvl="1" w:tplc="D0F6FE0A" w:tentative="1">
      <w:start w:val="1"/>
      <w:numFmt w:val="bullet"/>
      <w:lvlText w:val="•"/>
      <w:lvlJc w:val="left"/>
      <w:pPr>
        <w:tabs>
          <w:tab w:val="num" w:pos="1440"/>
        </w:tabs>
        <w:ind w:left="1440" w:hanging="360"/>
      </w:pPr>
      <w:rPr>
        <w:rFonts w:ascii="Arial" w:hAnsi="Arial" w:hint="default"/>
      </w:rPr>
    </w:lvl>
    <w:lvl w:ilvl="2" w:tplc="87C4E35A" w:tentative="1">
      <w:start w:val="1"/>
      <w:numFmt w:val="bullet"/>
      <w:lvlText w:val="•"/>
      <w:lvlJc w:val="left"/>
      <w:pPr>
        <w:tabs>
          <w:tab w:val="num" w:pos="2160"/>
        </w:tabs>
        <w:ind w:left="2160" w:hanging="360"/>
      </w:pPr>
      <w:rPr>
        <w:rFonts w:ascii="Arial" w:hAnsi="Arial" w:hint="default"/>
      </w:rPr>
    </w:lvl>
    <w:lvl w:ilvl="3" w:tplc="927E82FA" w:tentative="1">
      <w:start w:val="1"/>
      <w:numFmt w:val="bullet"/>
      <w:lvlText w:val="•"/>
      <w:lvlJc w:val="left"/>
      <w:pPr>
        <w:tabs>
          <w:tab w:val="num" w:pos="2880"/>
        </w:tabs>
        <w:ind w:left="2880" w:hanging="360"/>
      </w:pPr>
      <w:rPr>
        <w:rFonts w:ascii="Arial" w:hAnsi="Arial" w:hint="default"/>
      </w:rPr>
    </w:lvl>
    <w:lvl w:ilvl="4" w:tplc="594AD368" w:tentative="1">
      <w:start w:val="1"/>
      <w:numFmt w:val="bullet"/>
      <w:lvlText w:val="•"/>
      <w:lvlJc w:val="left"/>
      <w:pPr>
        <w:tabs>
          <w:tab w:val="num" w:pos="3600"/>
        </w:tabs>
        <w:ind w:left="3600" w:hanging="360"/>
      </w:pPr>
      <w:rPr>
        <w:rFonts w:ascii="Arial" w:hAnsi="Arial" w:hint="default"/>
      </w:rPr>
    </w:lvl>
    <w:lvl w:ilvl="5" w:tplc="D51E8994" w:tentative="1">
      <w:start w:val="1"/>
      <w:numFmt w:val="bullet"/>
      <w:lvlText w:val="•"/>
      <w:lvlJc w:val="left"/>
      <w:pPr>
        <w:tabs>
          <w:tab w:val="num" w:pos="4320"/>
        </w:tabs>
        <w:ind w:left="4320" w:hanging="360"/>
      </w:pPr>
      <w:rPr>
        <w:rFonts w:ascii="Arial" w:hAnsi="Arial" w:hint="default"/>
      </w:rPr>
    </w:lvl>
    <w:lvl w:ilvl="6" w:tplc="605038D2" w:tentative="1">
      <w:start w:val="1"/>
      <w:numFmt w:val="bullet"/>
      <w:lvlText w:val="•"/>
      <w:lvlJc w:val="left"/>
      <w:pPr>
        <w:tabs>
          <w:tab w:val="num" w:pos="5040"/>
        </w:tabs>
        <w:ind w:left="5040" w:hanging="360"/>
      </w:pPr>
      <w:rPr>
        <w:rFonts w:ascii="Arial" w:hAnsi="Arial" w:hint="default"/>
      </w:rPr>
    </w:lvl>
    <w:lvl w:ilvl="7" w:tplc="2CE6DF48" w:tentative="1">
      <w:start w:val="1"/>
      <w:numFmt w:val="bullet"/>
      <w:lvlText w:val="•"/>
      <w:lvlJc w:val="left"/>
      <w:pPr>
        <w:tabs>
          <w:tab w:val="num" w:pos="5760"/>
        </w:tabs>
        <w:ind w:left="5760" w:hanging="360"/>
      </w:pPr>
      <w:rPr>
        <w:rFonts w:ascii="Arial" w:hAnsi="Arial" w:hint="default"/>
      </w:rPr>
    </w:lvl>
    <w:lvl w:ilvl="8" w:tplc="9138A2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173B6"/>
    <w:multiLevelType w:val="hybridMultilevel"/>
    <w:tmpl w:val="2646A51E"/>
    <w:lvl w:ilvl="0" w:tplc="FC784E3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A1EC6"/>
    <w:multiLevelType w:val="hybridMultilevel"/>
    <w:tmpl w:val="6C767D4E"/>
    <w:lvl w:ilvl="0" w:tplc="9C70FE8E">
      <w:start w:val="1"/>
      <w:numFmt w:val="bullet"/>
      <w:lvlText w:val="•"/>
      <w:lvlJc w:val="left"/>
      <w:pPr>
        <w:tabs>
          <w:tab w:val="num" w:pos="720"/>
        </w:tabs>
        <w:ind w:left="720" w:hanging="360"/>
      </w:pPr>
      <w:rPr>
        <w:rFonts w:ascii="Arial" w:hAnsi="Arial" w:hint="default"/>
      </w:rPr>
    </w:lvl>
    <w:lvl w:ilvl="1" w:tplc="459CF9BA" w:tentative="1">
      <w:start w:val="1"/>
      <w:numFmt w:val="bullet"/>
      <w:lvlText w:val="•"/>
      <w:lvlJc w:val="left"/>
      <w:pPr>
        <w:tabs>
          <w:tab w:val="num" w:pos="1440"/>
        </w:tabs>
        <w:ind w:left="1440" w:hanging="360"/>
      </w:pPr>
      <w:rPr>
        <w:rFonts w:ascii="Arial" w:hAnsi="Arial" w:hint="default"/>
      </w:rPr>
    </w:lvl>
    <w:lvl w:ilvl="2" w:tplc="04DCAF50" w:tentative="1">
      <w:start w:val="1"/>
      <w:numFmt w:val="bullet"/>
      <w:lvlText w:val="•"/>
      <w:lvlJc w:val="left"/>
      <w:pPr>
        <w:tabs>
          <w:tab w:val="num" w:pos="2160"/>
        </w:tabs>
        <w:ind w:left="2160" w:hanging="360"/>
      </w:pPr>
      <w:rPr>
        <w:rFonts w:ascii="Arial" w:hAnsi="Arial" w:hint="default"/>
      </w:rPr>
    </w:lvl>
    <w:lvl w:ilvl="3" w:tplc="2F78840E" w:tentative="1">
      <w:start w:val="1"/>
      <w:numFmt w:val="bullet"/>
      <w:lvlText w:val="•"/>
      <w:lvlJc w:val="left"/>
      <w:pPr>
        <w:tabs>
          <w:tab w:val="num" w:pos="2880"/>
        </w:tabs>
        <w:ind w:left="2880" w:hanging="360"/>
      </w:pPr>
      <w:rPr>
        <w:rFonts w:ascii="Arial" w:hAnsi="Arial" w:hint="default"/>
      </w:rPr>
    </w:lvl>
    <w:lvl w:ilvl="4" w:tplc="79C4F89E" w:tentative="1">
      <w:start w:val="1"/>
      <w:numFmt w:val="bullet"/>
      <w:lvlText w:val="•"/>
      <w:lvlJc w:val="left"/>
      <w:pPr>
        <w:tabs>
          <w:tab w:val="num" w:pos="3600"/>
        </w:tabs>
        <w:ind w:left="3600" w:hanging="360"/>
      </w:pPr>
      <w:rPr>
        <w:rFonts w:ascii="Arial" w:hAnsi="Arial" w:hint="default"/>
      </w:rPr>
    </w:lvl>
    <w:lvl w:ilvl="5" w:tplc="61601A6C" w:tentative="1">
      <w:start w:val="1"/>
      <w:numFmt w:val="bullet"/>
      <w:lvlText w:val="•"/>
      <w:lvlJc w:val="left"/>
      <w:pPr>
        <w:tabs>
          <w:tab w:val="num" w:pos="4320"/>
        </w:tabs>
        <w:ind w:left="4320" w:hanging="360"/>
      </w:pPr>
      <w:rPr>
        <w:rFonts w:ascii="Arial" w:hAnsi="Arial" w:hint="default"/>
      </w:rPr>
    </w:lvl>
    <w:lvl w:ilvl="6" w:tplc="181EB6B0" w:tentative="1">
      <w:start w:val="1"/>
      <w:numFmt w:val="bullet"/>
      <w:lvlText w:val="•"/>
      <w:lvlJc w:val="left"/>
      <w:pPr>
        <w:tabs>
          <w:tab w:val="num" w:pos="5040"/>
        </w:tabs>
        <w:ind w:left="5040" w:hanging="360"/>
      </w:pPr>
      <w:rPr>
        <w:rFonts w:ascii="Arial" w:hAnsi="Arial" w:hint="default"/>
      </w:rPr>
    </w:lvl>
    <w:lvl w:ilvl="7" w:tplc="F7506220" w:tentative="1">
      <w:start w:val="1"/>
      <w:numFmt w:val="bullet"/>
      <w:lvlText w:val="•"/>
      <w:lvlJc w:val="left"/>
      <w:pPr>
        <w:tabs>
          <w:tab w:val="num" w:pos="5760"/>
        </w:tabs>
        <w:ind w:left="5760" w:hanging="360"/>
      </w:pPr>
      <w:rPr>
        <w:rFonts w:ascii="Arial" w:hAnsi="Arial" w:hint="default"/>
      </w:rPr>
    </w:lvl>
    <w:lvl w:ilvl="8" w:tplc="EED881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CB23E0"/>
    <w:multiLevelType w:val="hybridMultilevel"/>
    <w:tmpl w:val="F4A2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B3BD7"/>
    <w:multiLevelType w:val="hybridMultilevel"/>
    <w:tmpl w:val="B34C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10AE1"/>
    <w:multiLevelType w:val="hybridMultilevel"/>
    <w:tmpl w:val="681ED2DE"/>
    <w:lvl w:ilvl="0" w:tplc="FFFFFFFF">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57E38"/>
    <w:multiLevelType w:val="hybridMultilevel"/>
    <w:tmpl w:val="DD08251A"/>
    <w:lvl w:ilvl="0" w:tplc="373C53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32190"/>
    <w:multiLevelType w:val="hybridMultilevel"/>
    <w:tmpl w:val="7DEA1C08"/>
    <w:lvl w:ilvl="0" w:tplc="D4160FC2">
      <w:start w:val="1"/>
      <w:numFmt w:val="bullet"/>
      <w:lvlText w:val="•"/>
      <w:lvlJc w:val="left"/>
      <w:pPr>
        <w:tabs>
          <w:tab w:val="num" w:pos="720"/>
        </w:tabs>
        <w:ind w:left="720" w:hanging="360"/>
      </w:pPr>
      <w:rPr>
        <w:rFonts w:ascii="Arial" w:hAnsi="Arial" w:hint="default"/>
      </w:rPr>
    </w:lvl>
    <w:lvl w:ilvl="1" w:tplc="04D491C2" w:tentative="1">
      <w:start w:val="1"/>
      <w:numFmt w:val="bullet"/>
      <w:lvlText w:val="•"/>
      <w:lvlJc w:val="left"/>
      <w:pPr>
        <w:tabs>
          <w:tab w:val="num" w:pos="1440"/>
        </w:tabs>
        <w:ind w:left="1440" w:hanging="360"/>
      </w:pPr>
      <w:rPr>
        <w:rFonts w:ascii="Arial" w:hAnsi="Arial" w:hint="default"/>
      </w:rPr>
    </w:lvl>
    <w:lvl w:ilvl="2" w:tplc="3126C4FA" w:tentative="1">
      <w:start w:val="1"/>
      <w:numFmt w:val="bullet"/>
      <w:lvlText w:val="•"/>
      <w:lvlJc w:val="left"/>
      <w:pPr>
        <w:tabs>
          <w:tab w:val="num" w:pos="2160"/>
        </w:tabs>
        <w:ind w:left="2160" w:hanging="360"/>
      </w:pPr>
      <w:rPr>
        <w:rFonts w:ascii="Arial" w:hAnsi="Arial" w:hint="default"/>
      </w:rPr>
    </w:lvl>
    <w:lvl w:ilvl="3" w:tplc="40F67660" w:tentative="1">
      <w:start w:val="1"/>
      <w:numFmt w:val="bullet"/>
      <w:lvlText w:val="•"/>
      <w:lvlJc w:val="left"/>
      <w:pPr>
        <w:tabs>
          <w:tab w:val="num" w:pos="2880"/>
        </w:tabs>
        <w:ind w:left="2880" w:hanging="360"/>
      </w:pPr>
      <w:rPr>
        <w:rFonts w:ascii="Arial" w:hAnsi="Arial" w:hint="default"/>
      </w:rPr>
    </w:lvl>
    <w:lvl w:ilvl="4" w:tplc="AA283708" w:tentative="1">
      <w:start w:val="1"/>
      <w:numFmt w:val="bullet"/>
      <w:lvlText w:val="•"/>
      <w:lvlJc w:val="left"/>
      <w:pPr>
        <w:tabs>
          <w:tab w:val="num" w:pos="3600"/>
        </w:tabs>
        <w:ind w:left="3600" w:hanging="360"/>
      </w:pPr>
      <w:rPr>
        <w:rFonts w:ascii="Arial" w:hAnsi="Arial" w:hint="default"/>
      </w:rPr>
    </w:lvl>
    <w:lvl w:ilvl="5" w:tplc="8422ACC2" w:tentative="1">
      <w:start w:val="1"/>
      <w:numFmt w:val="bullet"/>
      <w:lvlText w:val="•"/>
      <w:lvlJc w:val="left"/>
      <w:pPr>
        <w:tabs>
          <w:tab w:val="num" w:pos="4320"/>
        </w:tabs>
        <w:ind w:left="4320" w:hanging="360"/>
      </w:pPr>
      <w:rPr>
        <w:rFonts w:ascii="Arial" w:hAnsi="Arial" w:hint="default"/>
      </w:rPr>
    </w:lvl>
    <w:lvl w:ilvl="6" w:tplc="0BD2FB66" w:tentative="1">
      <w:start w:val="1"/>
      <w:numFmt w:val="bullet"/>
      <w:lvlText w:val="•"/>
      <w:lvlJc w:val="left"/>
      <w:pPr>
        <w:tabs>
          <w:tab w:val="num" w:pos="5040"/>
        </w:tabs>
        <w:ind w:left="5040" w:hanging="360"/>
      </w:pPr>
      <w:rPr>
        <w:rFonts w:ascii="Arial" w:hAnsi="Arial" w:hint="default"/>
      </w:rPr>
    </w:lvl>
    <w:lvl w:ilvl="7" w:tplc="0E901A66" w:tentative="1">
      <w:start w:val="1"/>
      <w:numFmt w:val="bullet"/>
      <w:lvlText w:val="•"/>
      <w:lvlJc w:val="left"/>
      <w:pPr>
        <w:tabs>
          <w:tab w:val="num" w:pos="5760"/>
        </w:tabs>
        <w:ind w:left="5760" w:hanging="360"/>
      </w:pPr>
      <w:rPr>
        <w:rFonts w:ascii="Arial" w:hAnsi="Arial" w:hint="default"/>
      </w:rPr>
    </w:lvl>
    <w:lvl w:ilvl="8" w:tplc="3FE804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9484C"/>
    <w:multiLevelType w:val="hybridMultilevel"/>
    <w:tmpl w:val="C442B736"/>
    <w:lvl w:ilvl="0" w:tplc="2DFEBB6C">
      <w:start w:val="1"/>
      <w:numFmt w:val="bullet"/>
      <w:lvlText w:val="•"/>
      <w:lvlJc w:val="left"/>
      <w:pPr>
        <w:tabs>
          <w:tab w:val="num" w:pos="720"/>
        </w:tabs>
        <w:ind w:left="720" w:hanging="360"/>
      </w:pPr>
      <w:rPr>
        <w:rFonts w:ascii="Arial" w:hAnsi="Arial" w:hint="default"/>
      </w:rPr>
    </w:lvl>
    <w:lvl w:ilvl="1" w:tplc="B67EAF32" w:tentative="1">
      <w:start w:val="1"/>
      <w:numFmt w:val="bullet"/>
      <w:lvlText w:val="•"/>
      <w:lvlJc w:val="left"/>
      <w:pPr>
        <w:tabs>
          <w:tab w:val="num" w:pos="1440"/>
        </w:tabs>
        <w:ind w:left="1440" w:hanging="360"/>
      </w:pPr>
      <w:rPr>
        <w:rFonts w:ascii="Arial" w:hAnsi="Arial" w:hint="default"/>
      </w:rPr>
    </w:lvl>
    <w:lvl w:ilvl="2" w:tplc="C2468306" w:tentative="1">
      <w:start w:val="1"/>
      <w:numFmt w:val="bullet"/>
      <w:lvlText w:val="•"/>
      <w:lvlJc w:val="left"/>
      <w:pPr>
        <w:tabs>
          <w:tab w:val="num" w:pos="2160"/>
        </w:tabs>
        <w:ind w:left="2160" w:hanging="360"/>
      </w:pPr>
      <w:rPr>
        <w:rFonts w:ascii="Arial" w:hAnsi="Arial" w:hint="default"/>
      </w:rPr>
    </w:lvl>
    <w:lvl w:ilvl="3" w:tplc="EE389468" w:tentative="1">
      <w:start w:val="1"/>
      <w:numFmt w:val="bullet"/>
      <w:lvlText w:val="•"/>
      <w:lvlJc w:val="left"/>
      <w:pPr>
        <w:tabs>
          <w:tab w:val="num" w:pos="2880"/>
        </w:tabs>
        <w:ind w:left="2880" w:hanging="360"/>
      </w:pPr>
      <w:rPr>
        <w:rFonts w:ascii="Arial" w:hAnsi="Arial" w:hint="default"/>
      </w:rPr>
    </w:lvl>
    <w:lvl w:ilvl="4" w:tplc="F842904C" w:tentative="1">
      <w:start w:val="1"/>
      <w:numFmt w:val="bullet"/>
      <w:lvlText w:val="•"/>
      <w:lvlJc w:val="left"/>
      <w:pPr>
        <w:tabs>
          <w:tab w:val="num" w:pos="3600"/>
        </w:tabs>
        <w:ind w:left="3600" w:hanging="360"/>
      </w:pPr>
      <w:rPr>
        <w:rFonts w:ascii="Arial" w:hAnsi="Arial" w:hint="default"/>
      </w:rPr>
    </w:lvl>
    <w:lvl w:ilvl="5" w:tplc="58A29A78" w:tentative="1">
      <w:start w:val="1"/>
      <w:numFmt w:val="bullet"/>
      <w:lvlText w:val="•"/>
      <w:lvlJc w:val="left"/>
      <w:pPr>
        <w:tabs>
          <w:tab w:val="num" w:pos="4320"/>
        </w:tabs>
        <w:ind w:left="4320" w:hanging="360"/>
      </w:pPr>
      <w:rPr>
        <w:rFonts w:ascii="Arial" w:hAnsi="Arial" w:hint="default"/>
      </w:rPr>
    </w:lvl>
    <w:lvl w:ilvl="6" w:tplc="771CFA18" w:tentative="1">
      <w:start w:val="1"/>
      <w:numFmt w:val="bullet"/>
      <w:lvlText w:val="•"/>
      <w:lvlJc w:val="left"/>
      <w:pPr>
        <w:tabs>
          <w:tab w:val="num" w:pos="5040"/>
        </w:tabs>
        <w:ind w:left="5040" w:hanging="360"/>
      </w:pPr>
      <w:rPr>
        <w:rFonts w:ascii="Arial" w:hAnsi="Arial" w:hint="default"/>
      </w:rPr>
    </w:lvl>
    <w:lvl w:ilvl="7" w:tplc="3702ADA4" w:tentative="1">
      <w:start w:val="1"/>
      <w:numFmt w:val="bullet"/>
      <w:lvlText w:val="•"/>
      <w:lvlJc w:val="left"/>
      <w:pPr>
        <w:tabs>
          <w:tab w:val="num" w:pos="5760"/>
        </w:tabs>
        <w:ind w:left="5760" w:hanging="360"/>
      </w:pPr>
      <w:rPr>
        <w:rFonts w:ascii="Arial" w:hAnsi="Arial" w:hint="default"/>
      </w:rPr>
    </w:lvl>
    <w:lvl w:ilvl="8" w:tplc="160661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57A9D"/>
    <w:multiLevelType w:val="hybridMultilevel"/>
    <w:tmpl w:val="7AEC2D88"/>
    <w:lvl w:ilvl="0" w:tplc="19229C36">
      <w:start w:val="1"/>
      <w:numFmt w:val="bullet"/>
      <w:lvlText w:val="•"/>
      <w:lvlJc w:val="left"/>
      <w:pPr>
        <w:tabs>
          <w:tab w:val="num" w:pos="720"/>
        </w:tabs>
        <w:ind w:left="720" w:hanging="360"/>
      </w:pPr>
      <w:rPr>
        <w:rFonts w:ascii="Arial" w:hAnsi="Arial" w:hint="default"/>
      </w:rPr>
    </w:lvl>
    <w:lvl w:ilvl="1" w:tplc="5C524EC2" w:tentative="1">
      <w:start w:val="1"/>
      <w:numFmt w:val="bullet"/>
      <w:lvlText w:val="•"/>
      <w:lvlJc w:val="left"/>
      <w:pPr>
        <w:tabs>
          <w:tab w:val="num" w:pos="1440"/>
        </w:tabs>
        <w:ind w:left="1440" w:hanging="360"/>
      </w:pPr>
      <w:rPr>
        <w:rFonts w:ascii="Arial" w:hAnsi="Arial" w:hint="default"/>
      </w:rPr>
    </w:lvl>
    <w:lvl w:ilvl="2" w:tplc="C32870D6" w:tentative="1">
      <w:start w:val="1"/>
      <w:numFmt w:val="bullet"/>
      <w:lvlText w:val="•"/>
      <w:lvlJc w:val="left"/>
      <w:pPr>
        <w:tabs>
          <w:tab w:val="num" w:pos="2160"/>
        </w:tabs>
        <w:ind w:left="2160" w:hanging="360"/>
      </w:pPr>
      <w:rPr>
        <w:rFonts w:ascii="Arial" w:hAnsi="Arial" w:hint="default"/>
      </w:rPr>
    </w:lvl>
    <w:lvl w:ilvl="3" w:tplc="39246B14" w:tentative="1">
      <w:start w:val="1"/>
      <w:numFmt w:val="bullet"/>
      <w:lvlText w:val="•"/>
      <w:lvlJc w:val="left"/>
      <w:pPr>
        <w:tabs>
          <w:tab w:val="num" w:pos="2880"/>
        </w:tabs>
        <w:ind w:left="2880" w:hanging="360"/>
      </w:pPr>
      <w:rPr>
        <w:rFonts w:ascii="Arial" w:hAnsi="Arial" w:hint="default"/>
      </w:rPr>
    </w:lvl>
    <w:lvl w:ilvl="4" w:tplc="3BCA1A5E" w:tentative="1">
      <w:start w:val="1"/>
      <w:numFmt w:val="bullet"/>
      <w:lvlText w:val="•"/>
      <w:lvlJc w:val="left"/>
      <w:pPr>
        <w:tabs>
          <w:tab w:val="num" w:pos="3600"/>
        </w:tabs>
        <w:ind w:left="3600" w:hanging="360"/>
      </w:pPr>
      <w:rPr>
        <w:rFonts w:ascii="Arial" w:hAnsi="Arial" w:hint="default"/>
      </w:rPr>
    </w:lvl>
    <w:lvl w:ilvl="5" w:tplc="D45C8904" w:tentative="1">
      <w:start w:val="1"/>
      <w:numFmt w:val="bullet"/>
      <w:lvlText w:val="•"/>
      <w:lvlJc w:val="left"/>
      <w:pPr>
        <w:tabs>
          <w:tab w:val="num" w:pos="4320"/>
        </w:tabs>
        <w:ind w:left="4320" w:hanging="360"/>
      </w:pPr>
      <w:rPr>
        <w:rFonts w:ascii="Arial" w:hAnsi="Arial" w:hint="default"/>
      </w:rPr>
    </w:lvl>
    <w:lvl w:ilvl="6" w:tplc="DAFC7442" w:tentative="1">
      <w:start w:val="1"/>
      <w:numFmt w:val="bullet"/>
      <w:lvlText w:val="•"/>
      <w:lvlJc w:val="left"/>
      <w:pPr>
        <w:tabs>
          <w:tab w:val="num" w:pos="5040"/>
        </w:tabs>
        <w:ind w:left="5040" w:hanging="360"/>
      </w:pPr>
      <w:rPr>
        <w:rFonts w:ascii="Arial" w:hAnsi="Arial" w:hint="default"/>
      </w:rPr>
    </w:lvl>
    <w:lvl w:ilvl="7" w:tplc="7820CC1C" w:tentative="1">
      <w:start w:val="1"/>
      <w:numFmt w:val="bullet"/>
      <w:lvlText w:val="•"/>
      <w:lvlJc w:val="left"/>
      <w:pPr>
        <w:tabs>
          <w:tab w:val="num" w:pos="5760"/>
        </w:tabs>
        <w:ind w:left="5760" w:hanging="360"/>
      </w:pPr>
      <w:rPr>
        <w:rFonts w:ascii="Arial" w:hAnsi="Arial" w:hint="default"/>
      </w:rPr>
    </w:lvl>
    <w:lvl w:ilvl="8" w:tplc="FDCC3C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23E09"/>
    <w:multiLevelType w:val="hybridMultilevel"/>
    <w:tmpl w:val="26EECE56"/>
    <w:lvl w:ilvl="0" w:tplc="33DE1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97C00"/>
    <w:multiLevelType w:val="hybridMultilevel"/>
    <w:tmpl w:val="E45C4D42"/>
    <w:lvl w:ilvl="0" w:tplc="6DB6446C">
      <w:start w:val="1"/>
      <w:numFmt w:val="bullet"/>
      <w:lvlText w:val="•"/>
      <w:lvlJc w:val="left"/>
      <w:pPr>
        <w:tabs>
          <w:tab w:val="num" w:pos="720"/>
        </w:tabs>
        <w:ind w:left="720" w:hanging="360"/>
      </w:pPr>
      <w:rPr>
        <w:rFonts w:ascii="Arial" w:hAnsi="Arial" w:hint="default"/>
      </w:rPr>
    </w:lvl>
    <w:lvl w:ilvl="1" w:tplc="2EC461B6" w:tentative="1">
      <w:start w:val="1"/>
      <w:numFmt w:val="bullet"/>
      <w:lvlText w:val="•"/>
      <w:lvlJc w:val="left"/>
      <w:pPr>
        <w:tabs>
          <w:tab w:val="num" w:pos="1440"/>
        </w:tabs>
        <w:ind w:left="1440" w:hanging="360"/>
      </w:pPr>
      <w:rPr>
        <w:rFonts w:ascii="Arial" w:hAnsi="Arial" w:hint="default"/>
      </w:rPr>
    </w:lvl>
    <w:lvl w:ilvl="2" w:tplc="DC040C24" w:tentative="1">
      <w:start w:val="1"/>
      <w:numFmt w:val="bullet"/>
      <w:lvlText w:val="•"/>
      <w:lvlJc w:val="left"/>
      <w:pPr>
        <w:tabs>
          <w:tab w:val="num" w:pos="2160"/>
        </w:tabs>
        <w:ind w:left="2160" w:hanging="360"/>
      </w:pPr>
      <w:rPr>
        <w:rFonts w:ascii="Arial" w:hAnsi="Arial" w:hint="default"/>
      </w:rPr>
    </w:lvl>
    <w:lvl w:ilvl="3" w:tplc="2E2CC608" w:tentative="1">
      <w:start w:val="1"/>
      <w:numFmt w:val="bullet"/>
      <w:lvlText w:val="•"/>
      <w:lvlJc w:val="left"/>
      <w:pPr>
        <w:tabs>
          <w:tab w:val="num" w:pos="2880"/>
        </w:tabs>
        <w:ind w:left="2880" w:hanging="360"/>
      </w:pPr>
      <w:rPr>
        <w:rFonts w:ascii="Arial" w:hAnsi="Arial" w:hint="default"/>
      </w:rPr>
    </w:lvl>
    <w:lvl w:ilvl="4" w:tplc="9816EBC0" w:tentative="1">
      <w:start w:val="1"/>
      <w:numFmt w:val="bullet"/>
      <w:lvlText w:val="•"/>
      <w:lvlJc w:val="left"/>
      <w:pPr>
        <w:tabs>
          <w:tab w:val="num" w:pos="3600"/>
        </w:tabs>
        <w:ind w:left="3600" w:hanging="360"/>
      </w:pPr>
      <w:rPr>
        <w:rFonts w:ascii="Arial" w:hAnsi="Arial" w:hint="default"/>
      </w:rPr>
    </w:lvl>
    <w:lvl w:ilvl="5" w:tplc="DDA0F57A" w:tentative="1">
      <w:start w:val="1"/>
      <w:numFmt w:val="bullet"/>
      <w:lvlText w:val="•"/>
      <w:lvlJc w:val="left"/>
      <w:pPr>
        <w:tabs>
          <w:tab w:val="num" w:pos="4320"/>
        </w:tabs>
        <w:ind w:left="4320" w:hanging="360"/>
      </w:pPr>
      <w:rPr>
        <w:rFonts w:ascii="Arial" w:hAnsi="Arial" w:hint="default"/>
      </w:rPr>
    </w:lvl>
    <w:lvl w:ilvl="6" w:tplc="0FD6C532" w:tentative="1">
      <w:start w:val="1"/>
      <w:numFmt w:val="bullet"/>
      <w:lvlText w:val="•"/>
      <w:lvlJc w:val="left"/>
      <w:pPr>
        <w:tabs>
          <w:tab w:val="num" w:pos="5040"/>
        </w:tabs>
        <w:ind w:left="5040" w:hanging="360"/>
      </w:pPr>
      <w:rPr>
        <w:rFonts w:ascii="Arial" w:hAnsi="Arial" w:hint="default"/>
      </w:rPr>
    </w:lvl>
    <w:lvl w:ilvl="7" w:tplc="86FE4FB4" w:tentative="1">
      <w:start w:val="1"/>
      <w:numFmt w:val="bullet"/>
      <w:lvlText w:val="•"/>
      <w:lvlJc w:val="left"/>
      <w:pPr>
        <w:tabs>
          <w:tab w:val="num" w:pos="5760"/>
        </w:tabs>
        <w:ind w:left="5760" w:hanging="360"/>
      </w:pPr>
      <w:rPr>
        <w:rFonts w:ascii="Arial" w:hAnsi="Arial" w:hint="default"/>
      </w:rPr>
    </w:lvl>
    <w:lvl w:ilvl="8" w:tplc="0002C1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592A23"/>
    <w:multiLevelType w:val="hybridMultilevel"/>
    <w:tmpl w:val="54C44F38"/>
    <w:lvl w:ilvl="0" w:tplc="A1DE4DAC">
      <w:start w:val="1"/>
      <w:numFmt w:val="bullet"/>
      <w:lvlText w:val="•"/>
      <w:lvlJc w:val="left"/>
      <w:pPr>
        <w:tabs>
          <w:tab w:val="num" w:pos="720"/>
        </w:tabs>
        <w:ind w:left="720" w:hanging="360"/>
      </w:pPr>
      <w:rPr>
        <w:rFonts w:ascii="Arial" w:hAnsi="Arial" w:hint="default"/>
      </w:rPr>
    </w:lvl>
    <w:lvl w:ilvl="1" w:tplc="2B40C544" w:tentative="1">
      <w:start w:val="1"/>
      <w:numFmt w:val="bullet"/>
      <w:lvlText w:val="•"/>
      <w:lvlJc w:val="left"/>
      <w:pPr>
        <w:tabs>
          <w:tab w:val="num" w:pos="1440"/>
        </w:tabs>
        <w:ind w:left="1440" w:hanging="360"/>
      </w:pPr>
      <w:rPr>
        <w:rFonts w:ascii="Arial" w:hAnsi="Arial" w:hint="default"/>
      </w:rPr>
    </w:lvl>
    <w:lvl w:ilvl="2" w:tplc="7486CF04" w:tentative="1">
      <w:start w:val="1"/>
      <w:numFmt w:val="bullet"/>
      <w:lvlText w:val="•"/>
      <w:lvlJc w:val="left"/>
      <w:pPr>
        <w:tabs>
          <w:tab w:val="num" w:pos="2160"/>
        </w:tabs>
        <w:ind w:left="2160" w:hanging="360"/>
      </w:pPr>
      <w:rPr>
        <w:rFonts w:ascii="Arial" w:hAnsi="Arial" w:hint="default"/>
      </w:rPr>
    </w:lvl>
    <w:lvl w:ilvl="3" w:tplc="65088098" w:tentative="1">
      <w:start w:val="1"/>
      <w:numFmt w:val="bullet"/>
      <w:lvlText w:val="•"/>
      <w:lvlJc w:val="left"/>
      <w:pPr>
        <w:tabs>
          <w:tab w:val="num" w:pos="2880"/>
        </w:tabs>
        <w:ind w:left="2880" w:hanging="360"/>
      </w:pPr>
      <w:rPr>
        <w:rFonts w:ascii="Arial" w:hAnsi="Arial" w:hint="default"/>
      </w:rPr>
    </w:lvl>
    <w:lvl w:ilvl="4" w:tplc="A460883E" w:tentative="1">
      <w:start w:val="1"/>
      <w:numFmt w:val="bullet"/>
      <w:lvlText w:val="•"/>
      <w:lvlJc w:val="left"/>
      <w:pPr>
        <w:tabs>
          <w:tab w:val="num" w:pos="3600"/>
        </w:tabs>
        <w:ind w:left="3600" w:hanging="360"/>
      </w:pPr>
      <w:rPr>
        <w:rFonts w:ascii="Arial" w:hAnsi="Arial" w:hint="default"/>
      </w:rPr>
    </w:lvl>
    <w:lvl w:ilvl="5" w:tplc="56A46C3A" w:tentative="1">
      <w:start w:val="1"/>
      <w:numFmt w:val="bullet"/>
      <w:lvlText w:val="•"/>
      <w:lvlJc w:val="left"/>
      <w:pPr>
        <w:tabs>
          <w:tab w:val="num" w:pos="4320"/>
        </w:tabs>
        <w:ind w:left="4320" w:hanging="360"/>
      </w:pPr>
      <w:rPr>
        <w:rFonts w:ascii="Arial" w:hAnsi="Arial" w:hint="default"/>
      </w:rPr>
    </w:lvl>
    <w:lvl w:ilvl="6" w:tplc="5D783398" w:tentative="1">
      <w:start w:val="1"/>
      <w:numFmt w:val="bullet"/>
      <w:lvlText w:val="•"/>
      <w:lvlJc w:val="left"/>
      <w:pPr>
        <w:tabs>
          <w:tab w:val="num" w:pos="5040"/>
        </w:tabs>
        <w:ind w:left="5040" w:hanging="360"/>
      </w:pPr>
      <w:rPr>
        <w:rFonts w:ascii="Arial" w:hAnsi="Arial" w:hint="default"/>
      </w:rPr>
    </w:lvl>
    <w:lvl w:ilvl="7" w:tplc="B0E0FF54" w:tentative="1">
      <w:start w:val="1"/>
      <w:numFmt w:val="bullet"/>
      <w:lvlText w:val="•"/>
      <w:lvlJc w:val="left"/>
      <w:pPr>
        <w:tabs>
          <w:tab w:val="num" w:pos="5760"/>
        </w:tabs>
        <w:ind w:left="5760" w:hanging="360"/>
      </w:pPr>
      <w:rPr>
        <w:rFonts w:ascii="Arial" w:hAnsi="Arial" w:hint="default"/>
      </w:rPr>
    </w:lvl>
    <w:lvl w:ilvl="8" w:tplc="BDE0D9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231CEA"/>
    <w:multiLevelType w:val="hybridMultilevel"/>
    <w:tmpl w:val="CB726CE8"/>
    <w:lvl w:ilvl="0" w:tplc="828CB4F2">
      <w:start w:val="1"/>
      <w:numFmt w:val="bullet"/>
      <w:lvlText w:val="•"/>
      <w:lvlJc w:val="left"/>
      <w:pPr>
        <w:tabs>
          <w:tab w:val="num" w:pos="720"/>
        </w:tabs>
        <w:ind w:left="720" w:hanging="360"/>
      </w:pPr>
      <w:rPr>
        <w:rFonts w:ascii="Arial" w:hAnsi="Arial" w:hint="default"/>
      </w:rPr>
    </w:lvl>
    <w:lvl w:ilvl="1" w:tplc="3208BCFC" w:tentative="1">
      <w:start w:val="1"/>
      <w:numFmt w:val="bullet"/>
      <w:lvlText w:val="•"/>
      <w:lvlJc w:val="left"/>
      <w:pPr>
        <w:tabs>
          <w:tab w:val="num" w:pos="1440"/>
        </w:tabs>
        <w:ind w:left="1440" w:hanging="360"/>
      </w:pPr>
      <w:rPr>
        <w:rFonts w:ascii="Arial" w:hAnsi="Arial" w:hint="default"/>
      </w:rPr>
    </w:lvl>
    <w:lvl w:ilvl="2" w:tplc="8DC07F1C" w:tentative="1">
      <w:start w:val="1"/>
      <w:numFmt w:val="bullet"/>
      <w:lvlText w:val="•"/>
      <w:lvlJc w:val="left"/>
      <w:pPr>
        <w:tabs>
          <w:tab w:val="num" w:pos="2160"/>
        </w:tabs>
        <w:ind w:left="2160" w:hanging="360"/>
      </w:pPr>
      <w:rPr>
        <w:rFonts w:ascii="Arial" w:hAnsi="Arial" w:hint="default"/>
      </w:rPr>
    </w:lvl>
    <w:lvl w:ilvl="3" w:tplc="E02810BE" w:tentative="1">
      <w:start w:val="1"/>
      <w:numFmt w:val="bullet"/>
      <w:lvlText w:val="•"/>
      <w:lvlJc w:val="left"/>
      <w:pPr>
        <w:tabs>
          <w:tab w:val="num" w:pos="2880"/>
        </w:tabs>
        <w:ind w:left="2880" w:hanging="360"/>
      </w:pPr>
      <w:rPr>
        <w:rFonts w:ascii="Arial" w:hAnsi="Arial" w:hint="default"/>
      </w:rPr>
    </w:lvl>
    <w:lvl w:ilvl="4" w:tplc="CC5C657C" w:tentative="1">
      <w:start w:val="1"/>
      <w:numFmt w:val="bullet"/>
      <w:lvlText w:val="•"/>
      <w:lvlJc w:val="left"/>
      <w:pPr>
        <w:tabs>
          <w:tab w:val="num" w:pos="3600"/>
        </w:tabs>
        <w:ind w:left="3600" w:hanging="360"/>
      </w:pPr>
      <w:rPr>
        <w:rFonts w:ascii="Arial" w:hAnsi="Arial" w:hint="default"/>
      </w:rPr>
    </w:lvl>
    <w:lvl w:ilvl="5" w:tplc="A33826B2" w:tentative="1">
      <w:start w:val="1"/>
      <w:numFmt w:val="bullet"/>
      <w:lvlText w:val="•"/>
      <w:lvlJc w:val="left"/>
      <w:pPr>
        <w:tabs>
          <w:tab w:val="num" w:pos="4320"/>
        </w:tabs>
        <w:ind w:left="4320" w:hanging="360"/>
      </w:pPr>
      <w:rPr>
        <w:rFonts w:ascii="Arial" w:hAnsi="Arial" w:hint="default"/>
      </w:rPr>
    </w:lvl>
    <w:lvl w:ilvl="6" w:tplc="D68A2E68" w:tentative="1">
      <w:start w:val="1"/>
      <w:numFmt w:val="bullet"/>
      <w:lvlText w:val="•"/>
      <w:lvlJc w:val="left"/>
      <w:pPr>
        <w:tabs>
          <w:tab w:val="num" w:pos="5040"/>
        </w:tabs>
        <w:ind w:left="5040" w:hanging="360"/>
      </w:pPr>
      <w:rPr>
        <w:rFonts w:ascii="Arial" w:hAnsi="Arial" w:hint="default"/>
      </w:rPr>
    </w:lvl>
    <w:lvl w:ilvl="7" w:tplc="A9F21AC0" w:tentative="1">
      <w:start w:val="1"/>
      <w:numFmt w:val="bullet"/>
      <w:lvlText w:val="•"/>
      <w:lvlJc w:val="left"/>
      <w:pPr>
        <w:tabs>
          <w:tab w:val="num" w:pos="5760"/>
        </w:tabs>
        <w:ind w:left="5760" w:hanging="360"/>
      </w:pPr>
      <w:rPr>
        <w:rFonts w:ascii="Arial" w:hAnsi="Arial" w:hint="default"/>
      </w:rPr>
    </w:lvl>
    <w:lvl w:ilvl="8" w:tplc="89DC24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B91814"/>
    <w:multiLevelType w:val="hybridMultilevel"/>
    <w:tmpl w:val="DEB6AF24"/>
    <w:lvl w:ilvl="0" w:tplc="0A4088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3F88"/>
    <w:multiLevelType w:val="hybridMultilevel"/>
    <w:tmpl w:val="F28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317F3"/>
    <w:multiLevelType w:val="hybridMultilevel"/>
    <w:tmpl w:val="D45C4D80"/>
    <w:lvl w:ilvl="0" w:tplc="BC9C27E4">
      <w:start w:val="1"/>
      <w:numFmt w:val="bullet"/>
      <w:lvlText w:val="•"/>
      <w:lvlJc w:val="left"/>
      <w:pPr>
        <w:tabs>
          <w:tab w:val="num" w:pos="720"/>
        </w:tabs>
        <w:ind w:left="720" w:hanging="360"/>
      </w:pPr>
      <w:rPr>
        <w:rFonts w:ascii="Arial" w:hAnsi="Arial" w:hint="default"/>
      </w:rPr>
    </w:lvl>
    <w:lvl w:ilvl="1" w:tplc="9D7E6AB0" w:tentative="1">
      <w:start w:val="1"/>
      <w:numFmt w:val="bullet"/>
      <w:lvlText w:val="•"/>
      <w:lvlJc w:val="left"/>
      <w:pPr>
        <w:tabs>
          <w:tab w:val="num" w:pos="1440"/>
        </w:tabs>
        <w:ind w:left="1440" w:hanging="360"/>
      </w:pPr>
      <w:rPr>
        <w:rFonts w:ascii="Arial" w:hAnsi="Arial" w:hint="default"/>
      </w:rPr>
    </w:lvl>
    <w:lvl w:ilvl="2" w:tplc="4B0C724C" w:tentative="1">
      <w:start w:val="1"/>
      <w:numFmt w:val="bullet"/>
      <w:lvlText w:val="•"/>
      <w:lvlJc w:val="left"/>
      <w:pPr>
        <w:tabs>
          <w:tab w:val="num" w:pos="2160"/>
        </w:tabs>
        <w:ind w:left="2160" w:hanging="360"/>
      </w:pPr>
      <w:rPr>
        <w:rFonts w:ascii="Arial" w:hAnsi="Arial" w:hint="default"/>
      </w:rPr>
    </w:lvl>
    <w:lvl w:ilvl="3" w:tplc="4FB8BBB6" w:tentative="1">
      <w:start w:val="1"/>
      <w:numFmt w:val="bullet"/>
      <w:lvlText w:val="•"/>
      <w:lvlJc w:val="left"/>
      <w:pPr>
        <w:tabs>
          <w:tab w:val="num" w:pos="2880"/>
        </w:tabs>
        <w:ind w:left="2880" w:hanging="360"/>
      </w:pPr>
      <w:rPr>
        <w:rFonts w:ascii="Arial" w:hAnsi="Arial" w:hint="default"/>
      </w:rPr>
    </w:lvl>
    <w:lvl w:ilvl="4" w:tplc="C8CEFAFA" w:tentative="1">
      <w:start w:val="1"/>
      <w:numFmt w:val="bullet"/>
      <w:lvlText w:val="•"/>
      <w:lvlJc w:val="left"/>
      <w:pPr>
        <w:tabs>
          <w:tab w:val="num" w:pos="3600"/>
        </w:tabs>
        <w:ind w:left="3600" w:hanging="360"/>
      </w:pPr>
      <w:rPr>
        <w:rFonts w:ascii="Arial" w:hAnsi="Arial" w:hint="default"/>
      </w:rPr>
    </w:lvl>
    <w:lvl w:ilvl="5" w:tplc="F378EAC8" w:tentative="1">
      <w:start w:val="1"/>
      <w:numFmt w:val="bullet"/>
      <w:lvlText w:val="•"/>
      <w:lvlJc w:val="left"/>
      <w:pPr>
        <w:tabs>
          <w:tab w:val="num" w:pos="4320"/>
        </w:tabs>
        <w:ind w:left="4320" w:hanging="360"/>
      </w:pPr>
      <w:rPr>
        <w:rFonts w:ascii="Arial" w:hAnsi="Arial" w:hint="default"/>
      </w:rPr>
    </w:lvl>
    <w:lvl w:ilvl="6" w:tplc="9C0CE73A" w:tentative="1">
      <w:start w:val="1"/>
      <w:numFmt w:val="bullet"/>
      <w:lvlText w:val="•"/>
      <w:lvlJc w:val="left"/>
      <w:pPr>
        <w:tabs>
          <w:tab w:val="num" w:pos="5040"/>
        </w:tabs>
        <w:ind w:left="5040" w:hanging="360"/>
      </w:pPr>
      <w:rPr>
        <w:rFonts w:ascii="Arial" w:hAnsi="Arial" w:hint="default"/>
      </w:rPr>
    </w:lvl>
    <w:lvl w:ilvl="7" w:tplc="1E4E1E62" w:tentative="1">
      <w:start w:val="1"/>
      <w:numFmt w:val="bullet"/>
      <w:lvlText w:val="•"/>
      <w:lvlJc w:val="left"/>
      <w:pPr>
        <w:tabs>
          <w:tab w:val="num" w:pos="5760"/>
        </w:tabs>
        <w:ind w:left="5760" w:hanging="360"/>
      </w:pPr>
      <w:rPr>
        <w:rFonts w:ascii="Arial" w:hAnsi="Arial" w:hint="default"/>
      </w:rPr>
    </w:lvl>
    <w:lvl w:ilvl="8" w:tplc="0A9E97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F859E0"/>
    <w:multiLevelType w:val="hybridMultilevel"/>
    <w:tmpl w:val="543617D6"/>
    <w:lvl w:ilvl="0" w:tplc="F11C4EF8">
      <w:start w:val="1"/>
      <w:numFmt w:val="bullet"/>
      <w:lvlText w:val="•"/>
      <w:lvlJc w:val="left"/>
      <w:pPr>
        <w:tabs>
          <w:tab w:val="num" w:pos="720"/>
        </w:tabs>
        <w:ind w:left="720" w:hanging="360"/>
      </w:pPr>
      <w:rPr>
        <w:rFonts w:ascii="Arial" w:hAnsi="Arial" w:hint="default"/>
      </w:rPr>
    </w:lvl>
    <w:lvl w:ilvl="1" w:tplc="F56612F8" w:tentative="1">
      <w:start w:val="1"/>
      <w:numFmt w:val="bullet"/>
      <w:lvlText w:val="•"/>
      <w:lvlJc w:val="left"/>
      <w:pPr>
        <w:tabs>
          <w:tab w:val="num" w:pos="1440"/>
        </w:tabs>
        <w:ind w:left="1440" w:hanging="360"/>
      </w:pPr>
      <w:rPr>
        <w:rFonts w:ascii="Arial" w:hAnsi="Arial" w:hint="default"/>
      </w:rPr>
    </w:lvl>
    <w:lvl w:ilvl="2" w:tplc="3788C020" w:tentative="1">
      <w:start w:val="1"/>
      <w:numFmt w:val="bullet"/>
      <w:lvlText w:val="•"/>
      <w:lvlJc w:val="left"/>
      <w:pPr>
        <w:tabs>
          <w:tab w:val="num" w:pos="2160"/>
        </w:tabs>
        <w:ind w:left="2160" w:hanging="360"/>
      </w:pPr>
      <w:rPr>
        <w:rFonts w:ascii="Arial" w:hAnsi="Arial" w:hint="default"/>
      </w:rPr>
    </w:lvl>
    <w:lvl w:ilvl="3" w:tplc="31A63A5C" w:tentative="1">
      <w:start w:val="1"/>
      <w:numFmt w:val="bullet"/>
      <w:lvlText w:val="•"/>
      <w:lvlJc w:val="left"/>
      <w:pPr>
        <w:tabs>
          <w:tab w:val="num" w:pos="2880"/>
        </w:tabs>
        <w:ind w:left="2880" w:hanging="360"/>
      </w:pPr>
      <w:rPr>
        <w:rFonts w:ascii="Arial" w:hAnsi="Arial" w:hint="default"/>
      </w:rPr>
    </w:lvl>
    <w:lvl w:ilvl="4" w:tplc="28605286" w:tentative="1">
      <w:start w:val="1"/>
      <w:numFmt w:val="bullet"/>
      <w:lvlText w:val="•"/>
      <w:lvlJc w:val="left"/>
      <w:pPr>
        <w:tabs>
          <w:tab w:val="num" w:pos="3600"/>
        </w:tabs>
        <w:ind w:left="3600" w:hanging="360"/>
      </w:pPr>
      <w:rPr>
        <w:rFonts w:ascii="Arial" w:hAnsi="Arial" w:hint="default"/>
      </w:rPr>
    </w:lvl>
    <w:lvl w:ilvl="5" w:tplc="5E92A210" w:tentative="1">
      <w:start w:val="1"/>
      <w:numFmt w:val="bullet"/>
      <w:lvlText w:val="•"/>
      <w:lvlJc w:val="left"/>
      <w:pPr>
        <w:tabs>
          <w:tab w:val="num" w:pos="4320"/>
        </w:tabs>
        <w:ind w:left="4320" w:hanging="360"/>
      </w:pPr>
      <w:rPr>
        <w:rFonts w:ascii="Arial" w:hAnsi="Arial" w:hint="default"/>
      </w:rPr>
    </w:lvl>
    <w:lvl w:ilvl="6" w:tplc="C7BE7F92" w:tentative="1">
      <w:start w:val="1"/>
      <w:numFmt w:val="bullet"/>
      <w:lvlText w:val="•"/>
      <w:lvlJc w:val="left"/>
      <w:pPr>
        <w:tabs>
          <w:tab w:val="num" w:pos="5040"/>
        </w:tabs>
        <w:ind w:left="5040" w:hanging="360"/>
      </w:pPr>
      <w:rPr>
        <w:rFonts w:ascii="Arial" w:hAnsi="Arial" w:hint="default"/>
      </w:rPr>
    </w:lvl>
    <w:lvl w:ilvl="7" w:tplc="899CB9AE" w:tentative="1">
      <w:start w:val="1"/>
      <w:numFmt w:val="bullet"/>
      <w:lvlText w:val="•"/>
      <w:lvlJc w:val="left"/>
      <w:pPr>
        <w:tabs>
          <w:tab w:val="num" w:pos="5760"/>
        </w:tabs>
        <w:ind w:left="5760" w:hanging="360"/>
      </w:pPr>
      <w:rPr>
        <w:rFonts w:ascii="Arial" w:hAnsi="Arial" w:hint="default"/>
      </w:rPr>
    </w:lvl>
    <w:lvl w:ilvl="8" w:tplc="C55864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1F718C"/>
    <w:multiLevelType w:val="hybridMultilevel"/>
    <w:tmpl w:val="A68862D6"/>
    <w:lvl w:ilvl="0" w:tplc="04325BE8">
      <w:start w:val="1"/>
      <w:numFmt w:val="bullet"/>
      <w:lvlText w:val="•"/>
      <w:lvlJc w:val="left"/>
      <w:pPr>
        <w:tabs>
          <w:tab w:val="num" w:pos="720"/>
        </w:tabs>
        <w:ind w:left="720" w:hanging="360"/>
      </w:pPr>
      <w:rPr>
        <w:rFonts w:ascii="Arial" w:hAnsi="Arial" w:hint="default"/>
      </w:rPr>
    </w:lvl>
    <w:lvl w:ilvl="1" w:tplc="5FAA7384" w:tentative="1">
      <w:start w:val="1"/>
      <w:numFmt w:val="bullet"/>
      <w:lvlText w:val="•"/>
      <w:lvlJc w:val="left"/>
      <w:pPr>
        <w:tabs>
          <w:tab w:val="num" w:pos="1440"/>
        </w:tabs>
        <w:ind w:left="1440" w:hanging="360"/>
      </w:pPr>
      <w:rPr>
        <w:rFonts w:ascii="Arial" w:hAnsi="Arial" w:hint="default"/>
      </w:rPr>
    </w:lvl>
    <w:lvl w:ilvl="2" w:tplc="104EFFE8" w:tentative="1">
      <w:start w:val="1"/>
      <w:numFmt w:val="bullet"/>
      <w:lvlText w:val="•"/>
      <w:lvlJc w:val="left"/>
      <w:pPr>
        <w:tabs>
          <w:tab w:val="num" w:pos="2160"/>
        </w:tabs>
        <w:ind w:left="2160" w:hanging="360"/>
      </w:pPr>
      <w:rPr>
        <w:rFonts w:ascii="Arial" w:hAnsi="Arial" w:hint="default"/>
      </w:rPr>
    </w:lvl>
    <w:lvl w:ilvl="3" w:tplc="1DBE656A" w:tentative="1">
      <w:start w:val="1"/>
      <w:numFmt w:val="bullet"/>
      <w:lvlText w:val="•"/>
      <w:lvlJc w:val="left"/>
      <w:pPr>
        <w:tabs>
          <w:tab w:val="num" w:pos="2880"/>
        </w:tabs>
        <w:ind w:left="2880" w:hanging="360"/>
      </w:pPr>
      <w:rPr>
        <w:rFonts w:ascii="Arial" w:hAnsi="Arial" w:hint="default"/>
      </w:rPr>
    </w:lvl>
    <w:lvl w:ilvl="4" w:tplc="027A5DEA" w:tentative="1">
      <w:start w:val="1"/>
      <w:numFmt w:val="bullet"/>
      <w:lvlText w:val="•"/>
      <w:lvlJc w:val="left"/>
      <w:pPr>
        <w:tabs>
          <w:tab w:val="num" w:pos="3600"/>
        </w:tabs>
        <w:ind w:left="3600" w:hanging="360"/>
      </w:pPr>
      <w:rPr>
        <w:rFonts w:ascii="Arial" w:hAnsi="Arial" w:hint="default"/>
      </w:rPr>
    </w:lvl>
    <w:lvl w:ilvl="5" w:tplc="40045B02" w:tentative="1">
      <w:start w:val="1"/>
      <w:numFmt w:val="bullet"/>
      <w:lvlText w:val="•"/>
      <w:lvlJc w:val="left"/>
      <w:pPr>
        <w:tabs>
          <w:tab w:val="num" w:pos="4320"/>
        </w:tabs>
        <w:ind w:left="4320" w:hanging="360"/>
      </w:pPr>
      <w:rPr>
        <w:rFonts w:ascii="Arial" w:hAnsi="Arial" w:hint="default"/>
      </w:rPr>
    </w:lvl>
    <w:lvl w:ilvl="6" w:tplc="F42E228C" w:tentative="1">
      <w:start w:val="1"/>
      <w:numFmt w:val="bullet"/>
      <w:lvlText w:val="•"/>
      <w:lvlJc w:val="left"/>
      <w:pPr>
        <w:tabs>
          <w:tab w:val="num" w:pos="5040"/>
        </w:tabs>
        <w:ind w:left="5040" w:hanging="360"/>
      </w:pPr>
      <w:rPr>
        <w:rFonts w:ascii="Arial" w:hAnsi="Arial" w:hint="default"/>
      </w:rPr>
    </w:lvl>
    <w:lvl w:ilvl="7" w:tplc="C4A0B67C" w:tentative="1">
      <w:start w:val="1"/>
      <w:numFmt w:val="bullet"/>
      <w:lvlText w:val="•"/>
      <w:lvlJc w:val="left"/>
      <w:pPr>
        <w:tabs>
          <w:tab w:val="num" w:pos="5760"/>
        </w:tabs>
        <w:ind w:left="5760" w:hanging="360"/>
      </w:pPr>
      <w:rPr>
        <w:rFonts w:ascii="Arial" w:hAnsi="Arial" w:hint="default"/>
      </w:rPr>
    </w:lvl>
    <w:lvl w:ilvl="8" w:tplc="6ADE3B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BA7A98"/>
    <w:multiLevelType w:val="hybridMultilevel"/>
    <w:tmpl w:val="E282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33649"/>
    <w:multiLevelType w:val="hybridMultilevel"/>
    <w:tmpl w:val="7F0A0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390C"/>
    <w:multiLevelType w:val="hybridMultilevel"/>
    <w:tmpl w:val="9208E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E3A9F"/>
    <w:multiLevelType w:val="hybridMultilevel"/>
    <w:tmpl w:val="3BD60734"/>
    <w:lvl w:ilvl="0" w:tplc="A22883BA">
      <w:start w:val="1"/>
      <w:numFmt w:val="bullet"/>
      <w:lvlText w:val="•"/>
      <w:lvlJc w:val="left"/>
      <w:pPr>
        <w:tabs>
          <w:tab w:val="num" w:pos="720"/>
        </w:tabs>
        <w:ind w:left="720" w:hanging="360"/>
      </w:pPr>
      <w:rPr>
        <w:rFonts w:ascii="Arial" w:hAnsi="Arial" w:hint="default"/>
      </w:rPr>
    </w:lvl>
    <w:lvl w:ilvl="1" w:tplc="F5EE5468" w:tentative="1">
      <w:start w:val="1"/>
      <w:numFmt w:val="bullet"/>
      <w:lvlText w:val="•"/>
      <w:lvlJc w:val="left"/>
      <w:pPr>
        <w:tabs>
          <w:tab w:val="num" w:pos="1440"/>
        </w:tabs>
        <w:ind w:left="1440" w:hanging="360"/>
      </w:pPr>
      <w:rPr>
        <w:rFonts w:ascii="Arial" w:hAnsi="Arial" w:hint="default"/>
      </w:rPr>
    </w:lvl>
    <w:lvl w:ilvl="2" w:tplc="892248B4" w:tentative="1">
      <w:start w:val="1"/>
      <w:numFmt w:val="bullet"/>
      <w:lvlText w:val="•"/>
      <w:lvlJc w:val="left"/>
      <w:pPr>
        <w:tabs>
          <w:tab w:val="num" w:pos="2160"/>
        </w:tabs>
        <w:ind w:left="2160" w:hanging="360"/>
      </w:pPr>
      <w:rPr>
        <w:rFonts w:ascii="Arial" w:hAnsi="Arial" w:hint="default"/>
      </w:rPr>
    </w:lvl>
    <w:lvl w:ilvl="3" w:tplc="70226222" w:tentative="1">
      <w:start w:val="1"/>
      <w:numFmt w:val="bullet"/>
      <w:lvlText w:val="•"/>
      <w:lvlJc w:val="left"/>
      <w:pPr>
        <w:tabs>
          <w:tab w:val="num" w:pos="2880"/>
        </w:tabs>
        <w:ind w:left="2880" w:hanging="360"/>
      </w:pPr>
      <w:rPr>
        <w:rFonts w:ascii="Arial" w:hAnsi="Arial" w:hint="default"/>
      </w:rPr>
    </w:lvl>
    <w:lvl w:ilvl="4" w:tplc="4E94F0CE" w:tentative="1">
      <w:start w:val="1"/>
      <w:numFmt w:val="bullet"/>
      <w:lvlText w:val="•"/>
      <w:lvlJc w:val="left"/>
      <w:pPr>
        <w:tabs>
          <w:tab w:val="num" w:pos="3600"/>
        </w:tabs>
        <w:ind w:left="3600" w:hanging="360"/>
      </w:pPr>
      <w:rPr>
        <w:rFonts w:ascii="Arial" w:hAnsi="Arial" w:hint="default"/>
      </w:rPr>
    </w:lvl>
    <w:lvl w:ilvl="5" w:tplc="C4C0AF78" w:tentative="1">
      <w:start w:val="1"/>
      <w:numFmt w:val="bullet"/>
      <w:lvlText w:val="•"/>
      <w:lvlJc w:val="left"/>
      <w:pPr>
        <w:tabs>
          <w:tab w:val="num" w:pos="4320"/>
        </w:tabs>
        <w:ind w:left="4320" w:hanging="360"/>
      </w:pPr>
      <w:rPr>
        <w:rFonts w:ascii="Arial" w:hAnsi="Arial" w:hint="default"/>
      </w:rPr>
    </w:lvl>
    <w:lvl w:ilvl="6" w:tplc="FB14B188" w:tentative="1">
      <w:start w:val="1"/>
      <w:numFmt w:val="bullet"/>
      <w:lvlText w:val="•"/>
      <w:lvlJc w:val="left"/>
      <w:pPr>
        <w:tabs>
          <w:tab w:val="num" w:pos="5040"/>
        </w:tabs>
        <w:ind w:left="5040" w:hanging="360"/>
      </w:pPr>
      <w:rPr>
        <w:rFonts w:ascii="Arial" w:hAnsi="Arial" w:hint="default"/>
      </w:rPr>
    </w:lvl>
    <w:lvl w:ilvl="7" w:tplc="5F2453C8" w:tentative="1">
      <w:start w:val="1"/>
      <w:numFmt w:val="bullet"/>
      <w:lvlText w:val="•"/>
      <w:lvlJc w:val="left"/>
      <w:pPr>
        <w:tabs>
          <w:tab w:val="num" w:pos="5760"/>
        </w:tabs>
        <w:ind w:left="5760" w:hanging="360"/>
      </w:pPr>
      <w:rPr>
        <w:rFonts w:ascii="Arial" w:hAnsi="Arial" w:hint="default"/>
      </w:rPr>
    </w:lvl>
    <w:lvl w:ilvl="8" w:tplc="78EEE3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D9611C"/>
    <w:multiLevelType w:val="hybridMultilevel"/>
    <w:tmpl w:val="F2BA4926"/>
    <w:lvl w:ilvl="0" w:tplc="0A4088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C72F4"/>
    <w:multiLevelType w:val="hybridMultilevel"/>
    <w:tmpl w:val="81A63CCE"/>
    <w:lvl w:ilvl="0" w:tplc="1292DC3A">
      <w:start w:val="1"/>
      <w:numFmt w:val="bullet"/>
      <w:lvlText w:val="•"/>
      <w:lvlJc w:val="left"/>
      <w:pPr>
        <w:tabs>
          <w:tab w:val="num" w:pos="720"/>
        </w:tabs>
        <w:ind w:left="720" w:hanging="360"/>
      </w:pPr>
      <w:rPr>
        <w:rFonts w:ascii="Arial" w:hAnsi="Arial" w:hint="default"/>
      </w:rPr>
    </w:lvl>
    <w:lvl w:ilvl="1" w:tplc="528C37F0" w:tentative="1">
      <w:start w:val="1"/>
      <w:numFmt w:val="bullet"/>
      <w:lvlText w:val="•"/>
      <w:lvlJc w:val="left"/>
      <w:pPr>
        <w:tabs>
          <w:tab w:val="num" w:pos="1440"/>
        </w:tabs>
        <w:ind w:left="1440" w:hanging="360"/>
      </w:pPr>
      <w:rPr>
        <w:rFonts w:ascii="Arial" w:hAnsi="Arial" w:hint="default"/>
      </w:rPr>
    </w:lvl>
    <w:lvl w:ilvl="2" w:tplc="741E26C2" w:tentative="1">
      <w:start w:val="1"/>
      <w:numFmt w:val="bullet"/>
      <w:lvlText w:val="•"/>
      <w:lvlJc w:val="left"/>
      <w:pPr>
        <w:tabs>
          <w:tab w:val="num" w:pos="2160"/>
        </w:tabs>
        <w:ind w:left="2160" w:hanging="360"/>
      </w:pPr>
      <w:rPr>
        <w:rFonts w:ascii="Arial" w:hAnsi="Arial" w:hint="default"/>
      </w:rPr>
    </w:lvl>
    <w:lvl w:ilvl="3" w:tplc="3B4098E6" w:tentative="1">
      <w:start w:val="1"/>
      <w:numFmt w:val="bullet"/>
      <w:lvlText w:val="•"/>
      <w:lvlJc w:val="left"/>
      <w:pPr>
        <w:tabs>
          <w:tab w:val="num" w:pos="2880"/>
        </w:tabs>
        <w:ind w:left="2880" w:hanging="360"/>
      </w:pPr>
      <w:rPr>
        <w:rFonts w:ascii="Arial" w:hAnsi="Arial" w:hint="default"/>
      </w:rPr>
    </w:lvl>
    <w:lvl w:ilvl="4" w:tplc="5F2A3D0C" w:tentative="1">
      <w:start w:val="1"/>
      <w:numFmt w:val="bullet"/>
      <w:lvlText w:val="•"/>
      <w:lvlJc w:val="left"/>
      <w:pPr>
        <w:tabs>
          <w:tab w:val="num" w:pos="3600"/>
        </w:tabs>
        <w:ind w:left="3600" w:hanging="360"/>
      </w:pPr>
      <w:rPr>
        <w:rFonts w:ascii="Arial" w:hAnsi="Arial" w:hint="default"/>
      </w:rPr>
    </w:lvl>
    <w:lvl w:ilvl="5" w:tplc="563A5192" w:tentative="1">
      <w:start w:val="1"/>
      <w:numFmt w:val="bullet"/>
      <w:lvlText w:val="•"/>
      <w:lvlJc w:val="left"/>
      <w:pPr>
        <w:tabs>
          <w:tab w:val="num" w:pos="4320"/>
        </w:tabs>
        <w:ind w:left="4320" w:hanging="360"/>
      </w:pPr>
      <w:rPr>
        <w:rFonts w:ascii="Arial" w:hAnsi="Arial" w:hint="default"/>
      </w:rPr>
    </w:lvl>
    <w:lvl w:ilvl="6" w:tplc="C87612CC" w:tentative="1">
      <w:start w:val="1"/>
      <w:numFmt w:val="bullet"/>
      <w:lvlText w:val="•"/>
      <w:lvlJc w:val="left"/>
      <w:pPr>
        <w:tabs>
          <w:tab w:val="num" w:pos="5040"/>
        </w:tabs>
        <w:ind w:left="5040" w:hanging="360"/>
      </w:pPr>
      <w:rPr>
        <w:rFonts w:ascii="Arial" w:hAnsi="Arial" w:hint="default"/>
      </w:rPr>
    </w:lvl>
    <w:lvl w:ilvl="7" w:tplc="971EDDB4" w:tentative="1">
      <w:start w:val="1"/>
      <w:numFmt w:val="bullet"/>
      <w:lvlText w:val="•"/>
      <w:lvlJc w:val="left"/>
      <w:pPr>
        <w:tabs>
          <w:tab w:val="num" w:pos="5760"/>
        </w:tabs>
        <w:ind w:left="5760" w:hanging="360"/>
      </w:pPr>
      <w:rPr>
        <w:rFonts w:ascii="Arial" w:hAnsi="Arial" w:hint="default"/>
      </w:rPr>
    </w:lvl>
    <w:lvl w:ilvl="8" w:tplc="E89412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BA07F0"/>
    <w:multiLevelType w:val="hybridMultilevel"/>
    <w:tmpl w:val="7B284684"/>
    <w:lvl w:ilvl="0" w:tplc="9246EA0C">
      <w:start w:val="1"/>
      <w:numFmt w:val="bullet"/>
      <w:lvlText w:val="•"/>
      <w:lvlJc w:val="left"/>
      <w:pPr>
        <w:tabs>
          <w:tab w:val="num" w:pos="720"/>
        </w:tabs>
        <w:ind w:left="720" w:hanging="360"/>
      </w:pPr>
      <w:rPr>
        <w:rFonts w:ascii="Arial" w:hAnsi="Arial" w:hint="default"/>
      </w:rPr>
    </w:lvl>
    <w:lvl w:ilvl="1" w:tplc="7130BD14" w:tentative="1">
      <w:start w:val="1"/>
      <w:numFmt w:val="bullet"/>
      <w:lvlText w:val="•"/>
      <w:lvlJc w:val="left"/>
      <w:pPr>
        <w:tabs>
          <w:tab w:val="num" w:pos="1440"/>
        </w:tabs>
        <w:ind w:left="1440" w:hanging="360"/>
      </w:pPr>
      <w:rPr>
        <w:rFonts w:ascii="Arial" w:hAnsi="Arial" w:hint="default"/>
      </w:rPr>
    </w:lvl>
    <w:lvl w:ilvl="2" w:tplc="4C0C0094" w:tentative="1">
      <w:start w:val="1"/>
      <w:numFmt w:val="bullet"/>
      <w:lvlText w:val="•"/>
      <w:lvlJc w:val="left"/>
      <w:pPr>
        <w:tabs>
          <w:tab w:val="num" w:pos="2160"/>
        </w:tabs>
        <w:ind w:left="2160" w:hanging="360"/>
      </w:pPr>
      <w:rPr>
        <w:rFonts w:ascii="Arial" w:hAnsi="Arial" w:hint="default"/>
      </w:rPr>
    </w:lvl>
    <w:lvl w:ilvl="3" w:tplc="9FE23624" w:tentative="1">
      <w:start w:val="1"/>
      <w:numFmt w:val="bullet"/>
      <w:lvlText w:val="•"/>
      <w:lvlJc w:val="left"/>
      <w:pPr>
        <w:tabs>
          <w:tab w:val="num" w:pos="2880"/>
        </w:tabs>
        <w:ind w:left="2880" w:hanging="360"/>
      </w:pPr>
      <w:rPr>
        <w:rFonts w:ascii="Arial" w:hAnsi="Arial" w:hint="default"/>
      </w:rPr>
    </w:lvl>
    <w:lvl w:ilvl="4" w:tplc="73305A30" w:tentative="1">
      <w:start w:val="1"/>
      <w:numFmt w:val="bullet"/>
      <w:lvlText w:val="•"/>
      <w:lvlJc w:val="left"/>
      <w:pPr>
        <w:tabs>
          <w:tab w:val="num" w:pos="3600"/>
        </w:tabs>
        <w:ind w:left="3600" w:hanging="360"/>
      </w:pPr>
      <w:rPr>
        <w:rFonts w:ascii="Arial" w:hAnsi="Arial" w:hint="default"/>
      </w:rPr>
    </w:lvl>
    <w:lvl w:ilvl="5" w:tplc="78B88DE4" w:tentative="1">
      <w:start w:val="1"/>
      <w:numFmt w:val="bullet"/>
      <w:lvlText w:val="•"/>
      <w:lvlJc w:val="left"/>
      <w:pPr>
        <w:tabs>
          <w:tab w:val="num" w:pos="4320"/>
        </w:tabs>
        <w:ind w:left="4320" w:hanging="360"/>
      </w:pPr>
      <w:rPr>
        <w:rFonts w:ascii="Arial" w:hAnsi="Arial" w:hint="default"/>
      </w:rPr>
    </w:lvl>
    <w:lvl w:ilvl="6" w:tplc="CDC4980E" w:tentative="1">
      <w:start w:val="1"/>
      <w:numFmt w:val="bullet"/>
      <w:lvlText w:val="•"/>
      <w:lvlJc w:val="left"/>
      <w:pPr>
        <w:tabs>
          <w:tab w:val="num" w:pos="5040"/>
        </w:tabs>
        <w:ind w:left="5040" w:hanging="360"/>
      </w:pPr>
      <w:rPr>
        <w:rFonts w:ascii="Arial" w:hAnsi="Arial" w:hint="default"/>
      </w:rPr>
    </w:lvl>
    <w:lvl w:ilvl="7" w:tplc="E02EF66E" w:tentative="1">
      <w:start w:val="1"/>
      <w:numFmt w:val="bullet"/>
      <w:lvlText w:val="•"/>
      <w:lvlJc w:val="left"/>
      <w:pPr>
        <w:tabs>
          <w:tab w:val="num" w:pos="5760"/>
        </w:tabs>
        <w:ind w:left="5760" w:hanging="360"/>
      </w:pPr>
      <w:rPr>
        <w:rFonts w:ascii="Arial" w:hAnsi="Arial" w:hint="default"/>
      </w:rPr>
    </w:lvl>
    <w:lvl w:ilvl="8" w:tplc="7B062D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0F22B5"/>
    <w:multiLevelType w:val="hybridMultilevel"/>
    <w:tmpl w:val="2D66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F1354A"/>
    <w:multiLevelType w:val="hybridMultilevel"/>
    <w:tmpl w:val="054ECFDE"/>
    <w:lvl w:ilvl="0" w:tplc="28CC96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B5D8B"/>
    <w:multiLevelType w:val="hybridMultilevel"/>
    <w:tmpl w:val="B7E41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3623E"/>
    <w:multiLevelType w:val="hybridMultilevel"/>
    <w:tmpl w:val="56706830"/>
    <w:lvl w:ilvl="0" w:tplc="96665E94">
      <w:start w:val="1"/>
      <w:numFmt w:val="bullet"/>
      <w:lvlText w:val="•"/>
      <w:lvlJc w:val="left"/>
      <w:pPr>
        <w:tabs>
          <w:tab w:val="num" w:pos="720"/>
        </w:tabs>
        <w:ind w:left="720" w:hanging="360"/>
      </w:pPr>
      <w:rPr>
        <w:rFonts w:ascii="Arial" w:hAnsi="Arial" w:hint="default"/>
      </w:rPr>
    </w:lvl>
    <w:lvl w:ilvl="1" w:tplc="D40A25BA" w:tentative="1">
      <w:start w:val="1"/>
      <w:numFmt w:val="bullet"/>
      <w:lvlText w:val="•"/>
      <w:lvlJc w:val="left"/>
      <w:pPr>
        <w:tabs>
          <w:tab w:val="num" w:pos="1440"/>
        </w:tabs>
        <w:ind w:left="1440" w:hanging="360"/>
      </w:pPr>
      <w:rPr>
        <w:rFonts w:ascii="Arial" w:hAnsi="Arial" w:hint="default"/>
      </w:rPr>
    </w:lvl>
    <w:lvl w:ilvl="2" w:tplc="A04AB808" w:tentative="1">
      <w:start w:val="1"/>
      <w:numFmt w:val="bullet"/>
      <w:lvlText w:val="•"/>
      <w:lvlJc w:val="left"/>
      <w:pPr>
        <w:tabs>
          <w:tab w:val="num" w:pos="2160"/>
        </w:tabs>
        <w:ind w:left="2160" w:hanging="360"/>
      </w:pPr>
      <w:rPr>
        <w:rFonts w:ascii="Arial" w:hAnsi="Arial" w:hint="default"/>
      </w:rPr>
    </w:lvl>
    <w:lvl w:ilvl="3" w:tplc="84F8B7C4" w:tentative="1">
      <w:start w:val="1"/>
      <w:numFmt w:val="bullet"/>
      <w:lvlText w:val="•"/>
      <w:lvlJc w:val="left"/>
      <w:pPr>
        <w:tabs>
          <w:tab w:val="num" w:pos="2880"/>
        </w:tabs>
        <w:ind w:left="2880" w:hanging="360"/>
      </w:pPr>
      <w:rPr>
        <w:rFonts w:ascii="Arial" w:hAnsi="Arial" w:hint="default"/>
      </w:rPr>
    </w:lvl>
    <w:lvl w:ilvl="4" w:tplc="6B92260C" w:tentative="1">
      <w:start w:val="1"/>
      <w:numFmt w:val="bullet"/>
      <w:lvlText w:val="•"/>
      <w:lvlJc w:val="left"/>
      <w:pPr>
        <w:tabs>
          <w:tab w:val="num" w:pos="3600"/>
        </w:tabs>
        <w:ind w:left="3600" w:hanging="360"/>
      </w:pPr>
      <w:rPr>
        <w:rFonts w:ascii="Arial" w:hAnsi="Arial" w:hint="default"/>
      </w:rPr>
    </w:lvl>
    <w:lvl w:ilvl="5" w:tplc="F3942908" w:tentative="1">
      <w:start w:val="1"/>
      <w:numFmt w:val="bullet"/>
      <w:lvlText w:val="•"/>
      <w:lvlJc w:val="left"/>
      <w:pPr>
        <w:tabs>
          <w:tab w:val="num" w:pos="4320"/>
        </w:tabs>
        <w:ind w:left="4320" w:hanging="360"/>
      </w:pPr>
      <w:rPr>
        <w:rFonts w:ascii="Arial" w:hAnsi="Arial" w:hint="default"/>
      </w:rPr>
    </w:lvl>
    <w:lvl w:ilvl="6" w:tplc="5B7E53D6" w:tentative="1">
      <w:start w:val="1"/>
      <w:numFmt w:val="bullet"/>
      <w:lvlText w:val="•"/>
      <w:lvlJc w:val="left"/>
      <w:pPr>
        <w:tabs>
          <w:tab w:val="num" w:pos="5040"/>
        </w:tabs>
        <w:ind w:left="5040" w:hanging="360"/>
      </w:pPr>
      <w:rPr>
        <w:rFonts w:ascii="Arial" w:hAnsi="Arial" w:hint="default"/>
      </w:rPr>
    </w:lvl>
    <w:lvl w:ilvl="7" w:tplc="BE204908" w:tentative="1">
      <w:start w:val="1"/>
      <w:numFmt w:val="bullet"/>
      <w:lvlText w:val="•"/>
      <w:lvlJc w:val="left"/>
      <w:pPr>
        <w:tabs>
          <w:tab w:val="num" w:pos="5760"/>
        </w:tabs>
        <w:ind w:left="5760" w:hanging="360"/>
      </w:pPr>
      <w:rPr>
        <w:rFonts w:ascii="Arial" w:hAnsi="Arial" w:hint="default"/>
      </w:rPr>
    </w:lvl>
    <w:lvl w:ilvl="8" w:tplc="3A346D6E" w:tentative="1">
      <w:start w:val="1"/>
      <w:numFmt w:val="bullet"/>
      <w:lvlText w:val="•"/>
      <w:lvlJc w:val="left"/>
      <w:pPr>
        <w:tabs>
          <w:tab w:val="num" w:pos="6480"/>
        </w:tabs>
        <w:ind w:left="6480" w:hanging="360"/>
      </w:pPr>
      <w:rPr>
        <w:rFonts w:ascii="Arial" w:hAnsi="Arial" w:hint="default"/>
      </w:rPr>
    </w:lvl>
  </w:abstractNum>
  <w:num w:numId="1" w16cid:durableId="1676498262">
    <w:abstractNumId w:val="2"/>
  </w:num>
  <w:num w:numId="2" w16cid:durableId="1400251744">
    <w:abstractNumId w:val="28"/>
  </w:num>
  <w:num w:numId="3" w16cid:durableId="2057966453">
    <w:abstractNumId w:val="6"/>
  </w:num>
  <w:num w:numId="4" w16cid:durableId="950279302">
    <w:abstractNumId w:val="29"/>
  </w:num>
  <w:num w:numId="5" w16cid:durableId="766467567">
    <w:abstractNumId w:val="21"/>
  </w:num>
  <w:num w:numId="6" w16cid:durableId="1017736351">
    <w:abstractNumId w:val="20"/>
  </w:num>
  <w:num w:numId="7" w16cid:durableId="1587618722">
    <w:abstractNumId w:val="16"/>
  </w:num>
  <w:num w:numId="8" w16cid:durableId="652443219">
    <w:abstractNumId w:val="11"/>
  </w:num>
  <w:num w:numId="9" w16cid:durableId="978731985">
    <w:abstractNumId w:val="22"/>
  </w:num>
  <w:num w:numId="10" w16cid:durableId="1209952917">
    <w:abstractNumId w:val="5"/>
  </w:num>
  <w:num w:numId="11" w16cid:durableId="1040980373">
    <w:abstractNumId w:val="4"/>
  </w:num>
  <w:num w:numId="12" w16cid:durableId="319121508">
    <w:abstractNumId w:val="9"/>
  </w:num>
  <w:num w:numId="13" w16cid:durableId="923344451">
    <w:abstractNumId w:val="7"/>
  </w:num>
  <w:num w:numId="14" w16cid:durableId="952589105">
    <w:abstractNumId w:val="19"/>
  </w:num>
  <w:num w:numId="15" w16cid:durableId="516580934">
    <w:abstractNumId w:val="25"/>
  </w:num>
  <w:num w:numId="16" w16cid:durableId="921446224">
    <w:abstractNumId w:val="14"/>
  </w:num>
  <w:num w:numId="17" w16cid:durableId="1238444769">
    <w:abstractNumId w:val="30"/>
  </w:num>
  <w:num w:numId="18" w16cid:durableId="901066784">
    <w:abstractNumId w:val="23"/>
  </w:num>
  <w:num w:numId="19" w16cid:durableId="1852985588">
    <w:abstractNumId w:val="8"/>
  </w:num>
  <w:num w:numId="20" w16cid:durableId="1444299512">
    <w:abstractNumId w:val="17"/>
  </w:num>
  <w:num w:numId="21" w16cid:durableId="154036260">
    <w:abstractNumId w:val="26"/>
  </w:num>
  <w:num w:numId="22" w16cid:durableId="520052034">
    <w:abstractNumId w:val="18"/>
  </w:num>
  <w:num w:numId="23" w16cid:durableId="1819960441">
    <w:abstractNumId w:val="12"/>
  </w:num>
  <w:num w:numId="24" w16cid:durableId="1061559373">
    <w:abstractNumId w:val="10"/>
  </w:num>
  <w:num w:numId="25" w16cid:durableId="174393450">
    <w:abstractNumId w:val="1"/>
  </w:num>
  <w:num w:numId="26" w16cid:durableId="1011756302">
    <w:abstractNumId w:val="3"/>
  </w:num>
  <w:num w:numId="27" w16cid:durableId="932591216">
    <w:abstractNumId w:val="13"/>
  </w:num>
  <w:num w:numId="28" w16cid:durableId="659312385">
    <w:abstractNumId w:val="5"/>
  </w:num>
  <w:num w:numId="29" w16cid:durableId="1814910631">
    <w:abstractNumId w:val="27"/>
  </w:num>
  <w:num w:numId="30" w16cid:durableId="721052588">
    <w:abstractNumId w:val="0"/>
  </w:num>
  <w:num w:numId="31" w16cid:durableId="1963416346">
    <w:abstractNumId w:val="15"/>
  </w:num>
  <w:num w:numId="32" w16cid:durableId="573514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7E"/>
    <w:rsid w:val="0000055B"/>
    <w:rsid w:val="00000CE8"/>
    <w:rsid w:val="00002475"/>
    <w:rsid w:val="000045E7"/>
    <w:rsid w:val="0000474E"/>
    <w:rsid w:val="00012D1A"/>
    <w:rsid w:val="00014826"/>
    <w:rsid w:val="00015164"/>
    <w:rsid w:val="00026A7E"/>
    <w:rsid w:val="00033AF2"/>
    <w:rsid w:val="00034193"/>
    <w:rsid w:val="000376BC"/>
    <w:rsid w:val="00037EE4"/>
    <w:rsid w:val="000436AA"/>
    <w:rsid w:val="000437A6"/>
    <w:rsid w:val="000442E5"/>
    <w:rsid w:val="00046B0A"/>
    <w:rsid w:val="000470D3"/>
    <w:rsid w:val="000475D2"/>
    <w:rsid w:val="00050F1B"/>
    <w:rsid w:val="0005389C"/>
    <w:rsid w:val="0005407E"/>
    <w:rsid w:val="00060DF6"/>
    <w:rsid w:val="000627CE"/>
    <w:rsid w:val="000643A0"/>
    <w:rsid w:val="000643D5"/>
    <w:rsid w:val="0006484C"/>
    <w:rsid w:val="00064AC1"/>
    <w:rsid w:val="00065A88"/>
    <w:rsid w:val="00066416"/>
    <w:rsid w:val="0007033F"/>
    <w:rsid w:val="0007140F"/>
    <w:rsid w:val="000718F8"/>
    <w:rsid w:val="00071E10"/>
    <w:rsid w:val="00075C0D"/>
    <w:rsid w:val="000852BB"/>
    <w:rsid w:val="00085C33"/>
    <w:rsid w:val="0008698B"/>
    <w:rsid w:val="000A2A2D"/>
    <w:rsid w:val="000A6311"/>
    <w:rsid w:val="000A6C29"/>
    <w:rsid w:val="000A7716"/>
    <w:rsid w:val="000B01E0"/>
    <w:rsid w:val="000B0241"/>
    <w:rsid w:val="000B1290"/>
    <w:rsid w:val="000B2F7A"/>
    <w:rsid w:val="000B3C81"/>
    <w:rsid w:val="000B4313"/>
    <w:rsid w:val="000B6050"/>
    <w:rsid w:val="000B7B4F"/>
    <w:rsid w:val="000C064D"/>
    <w:rsid w:val="000C5937"/>
    <w:rsid w:val="000C5A62"/>
    <w:rsid w:val="000C5EC3"/>
    <w:rsid w:val="000D3665"/>
    <w:rsid w:val="000D448E"/>
    <w:rsid w:val="000D644D"/>
    <w:rsid w:val="000E048D"/>
    <w:rsid w:val="000E0865"/>
    <w:rsid w:val="000E0C9D"/>
    <w:rsid w:val="000E109E"/>
    <w:rsid w:val="000E31F4"/>
    <w:rsid w:val="000E550D"/>
    <w:rsid w:val="000E556A"/>
    <w:rsid w:val="000E5F93"/>
    <w:rsid w:val="000F127A"/>
    <w:rsid w:val="000F227C"/>
    <w:rsid w:val="000F2817"/>
    <w:rsid w:val="000F5C43"/>
    <w:rsid w:val="00101491"/>
    <w:rsid w:val="00102B11"/>
    <w:rsid w:val="00102DC7"/>
    <w:rsid w:val="00103210"/>
    <w:rsid w:val="00104E9E"/>
    <w:rsid w:val="00106DAB"/>
    <w:rsid w:val="00110A65"/>
    <w:rsid w:val="001140F0"/>
    <w:rsid w:val="001149AA"/>
    <w:rsid w:val="001149E0"/>
    <w:rsid w:val="00117C85"/>
    <w:rsid w:val="00121EF9"/>
    <w:rsid w:val="0012205E"/>
    <w:rsid w:val="001228C1"/>
    <w:rsid w:val="001247BE"/>
    <w:rsid w:val="001279EA"/>
    <w:rsid w:val="00130BA1"/>
    <w:rsid w:val="00131838"/>
    <w:rsid w:val="001323B8"/>
    <w:rsid w:val="00132406"/>
    <w:rsid w:val="00132A23"/>
    <w:rsid w:val="00135E65"/>
    <w:rsid w:val="00136F5E"/>
    <w:rsid w:val="00140251"/>
    <w:rsid w:val="00142139"/>
    <w:rsid w:val="00142690"/>
    <w:rsid w:val="001434BB"/>
    <w:rsid w:val="00144239"/>
    <w:rsid w:val="00144B98"/>
    <w:rsid w:val="00150BB2"/>
    <w:rsid w:val="00151939"/>
    <w:rsid w:val="00151EA9"/>
    <w:rsid w:val="0015205C"/>
    <w:rsid w:val="00153F87"/>
    <w:rsid w:val="001576A3"/>
    <w:rsid w:val="0016227F"/>
    <w:rsid w:val="001637F8"/>
    <w:rsid w:val="00167085"/>
    <w:rsid w:val="001673F9"/>
    <w:rsid w:val="00171416"/>
    <w:rsid w:val="00171ACB"/>
    <w:rsid w:val="00172A14"/>
    <w:rsid w:val="0017321D"/>
    <w:rsid w:val="00175413"/>
    <w:rsid w:val="00175E00"/>
    <w:rsid w:val="00181652"/>
    <w:rsid w:val="00181F56"/>
    <w:rsid w:val="00182CF6"/>
    <w:rsid w:val="001861DC"/>
    <w:rsid w:val="00186D46"/>
    <w:rsid w:val="001875E2"/>
    <w:rsid w:val="00187965"/>
    <w:rsid w:val="0019025B"/>
    <w:rsid w:val="001926E4"/>
    <w:rsid w:val="00193F3E"/>
    <w:rsid w:val="00195284"/>
    <w:rsid w:val="00195DC4"/>
    <w:rsid w:val="00196706"/>
    <w:rsid w:val="00196848"/>
    <w:rsid w:val="00197327"/>
    <w:rsid w:val="00197657"/>
    <w:rsid w:val="00197D22"/>
    <w:rsid w:val="001A258F"/>
    <w:rsid w:val="001A2619"/>
    <w:rsid w:val="001A5D57"/>
    <w:rsid w:val="001A6515"/>
    <w:rsid w:val="001A746B"/>
    <w:rsid w:val="001B00CA"/>
    <w:rsid w:val="001B3386"/>
    <w:rsid w:val="001B43A3"/>
    <w:rsid w:val="001C142D"/>
    <w:rsid w:val="001C5413"/>
    <w:rsid w:val="001C7229"/>
    <w:rsid w:val="001D2949"/>
    <w:rsid w:val="001D3C49"/>
    <w:rsid w:val="001D4ECE"/>
    <w:rsid w:val="001D519F"/>
    <w:rsid w:val="001D6998"/>
    <w:rsid w:val="001D705A"/>
    <w:rsid w:val="001E02F5"/>
    <w:rsid w:val="001E4565"/>
    <w:rsid w:val="001E54E2"/>
    <w:rsid w:val="001E624E"/>
    <w:rsid w:val="001E6816"/>
    <w:rsid w:val="001E71A6"/>
    <w:rsid w:val="001F1AB3"/>
    <w:rsid w:val="001F2257"/>
    <w:rsid w:val="00201FA7"/>
    <w:rsid w:val="00203469"/>
    <w:rsid w:val="00204A10"/>
    <w:rsid w:val="00207920"/>
    <w:rsid w:val="002119A3"/>
    <w:rsid w:val="00213B89"/>
    <w:rsid w:val="00215AF8"/>
    <w:rsid w:val="0022206F"/>
    <w:rsid w:val="00223B0A"/>
    <w:rsid w:val="002263CF"/>
    <w:rsid w:val="002264F5"/>
    <w:rsid w:val="00231753"/>
    <w:rsid w:val="002319C7"/>
    <w:rsid w:val="002331FC"/>
    <w:rsid w:val="00234427"/>
    <w:rsid w:val="0024384A"/>
    <w:rsid w:val="002439FD"/>
    <w:rsid w:val="00244291"/>
    <w:rsid w:val="00244B44"/>
    <w:rsid w:val="00246D45"/>
    <w:rsid w:val="00246F7E"/>
    <w:rsid w:val="00247660"/>
    <w:rsid w:val="00255723"/>
    <w:rsid w:val="0025754E"/>
    <w:rsid w:val="002608AA"/>
    <w:rsid w:val="00261BB0"/>
    <w:rsid w:val="00266452"/>
    <w:rsid w:val="002675EC"/>
    <w:rsid w:val="00267CD9"/>
    <w:rsid w:val="00270CBA"/>
    <w:rsid w:val="00273845"/>
    <w:rsid w:val="002748BC"/>
    <w:rsid w:val="002779D1"/>
    <w:rsid w:val="00282B98"/>
    <w:rsid w:val="00283C45"/>
    <w:rsid w:val="00287F02"/>
    <w:rsid w:val="00292FA3"/>
    <w:rsid w:val="00293128"/>
    <w:rsid w:val="00294E96"/>
    <w:rsid w:val="00295548"/>
    <w:rsid w:val="002957C0"/>
    <w:rsid w:val="002970E0"/>
    <w:rsid w:val="00297BF6"/>
    <w:rsid w:val="00297F2A"/>
    <w:rsid w:val="002A181A"/>
    <w:rsid w:val="002B27F4"/>
    <w:rsid w:val="002B342F"/>
    <w:rsid w:val="002B5724"/>
    <w:rsid w:val="002C20B5"/>
    <w:rsid w:val="002C3C3D"/>
    <w:rsid w:val="002D0638"/>
    <w:rsid w:val="002D0768"/>
    <w:rsid w:val="002D1B6C"/>
    <w:rsid w:val="002D1C3D"/>
    <w:rsid w:val="002D21AC"/>
    <w:rsid w:val="002D2210"/>
    <w:rsid w:val="002D30E2"/>
    <w:rsid w:val="002D38B4"/>
    <w:rsid w:val="002E253C"/>
    <w:rsid w:val="002E2D86"/>
    <w:rsid w:val="002E2FEF"/>
    <w:rsid w:val="002E3EE3"/>
    <w:rsid w:val="002F37C8"/>
    <w:rsid w:val="002F4B3A"/>
    <w:rsid w:val="002F6B9E"/>
    <w:rsid w:val="0030146E"/>
    <w:rsid w:val="00301CF4"/>
    <w:rsid w:val="003030F4"/>
    <w:rsid w:val="00304E54"/>
    <w:rsid w:val="00305AB4"/>
    <w:rsid w:val="003070C4"/>
    <w:rsid w:val="00310D7F"/>
    <w:rsid w:val="00311467"/>
    <w:rsid w:val="003117B5"/>
    <w:rsid w:val="00313DD5"/>
    <w:rsid w:val="00315F82"/>
    <w:rsid w:val="00317410"/>
    <w:rsid w:val="00321167"/>
    <w:rsid w:val="003217A9"/>
    <w:rsid w:val="00321DC1"/>
    <w:rsid w:val="00324528"/>
    <w:rsid w:val="003261C2"/>
    <w:rsid w:val="003271B0"/>
    <w:rsid w:val="00327D7E"/>
    <w:rsid w:val="003321BB"/>
    <w:rsid w:val="00333A11"/>
    <w:rsid w:val="003348D7"/>
    <w:rsid w:val="0033589E"/>
    <w:rsid w:val="003366E7"/>
    <w:rsid w:val="00341603"/>
    <w:rsid w:val="00341D8A"/>
    <w:rsid w:val="003437B3"/>
    <w:rsid w:val="003451C6"/>
    <w:rsid w:val="003452AC"/>
    <w:rsid w:val="00347A02"/>
    <w:rsid w:val="003500C4"/>
    <w:rsid w:val="003520DB"/>
    <w:rsid w:val="003543CE"/>
    <w:rsid w:val="003546B7"/>
    <w:rsid w:val="003547F7"/>
    <w:rsid w:val="003548C4"/>
    <w:rsid w:val="0035546B"/>
    <w:rsid w:val="003564A9"/>
    <w:rsid w:val="003577FC"/>
    <w:rsid w:val="00361B04"/>
    <w:rsid w:val="00361E33"/>
    <w:rsid w:val="00363848"/>
    <w:rsid w:val="003668B8"/>
    <w:rsid w:val="00366C30"/>
    <w:rsid w:val="00367DCA"/>
    <w:rsid w:val="00371FFC"/>
    <w:rsid w:val="00372AEC"/>
    <w:rsid w:val="00374381"/>
    <w:rsid w:val="003807FA"/>
    <w:rsid w:val="00381F65"/>
    <w:rsid w:val="00387B4F"/>
    <w:rsid w:val="00387D86"/>
    <w:rsid w:val="00390136"/>
    <w:rsid w:val="00390516"/>
    <w:rsid w:val="00390D39"/>
    <w:rsid w:val="003922B7"/>
    <w:rsid w:val="003937BC"/>
    <w:rsid w:val="00397618"/>
    <w:rsid w:val="00397B23"/>
    <w:rsid w:val="00397BBD"/>
    <w:rsid w:val="003A0A76"/>
    <w:rsid w:val="003A210E"/>
    <w:rsid w:val="003A63C8"/>
    <w:rsid w:val="003A7607"/>
    <w:rsid w:val="003B1726"/>
    <w:rsid w:val="003B21F8"/>
    <w:rsid w:val="003B4FB9"/>
    <w:rsid w:val="003B67A7"/>
    <w:rsid w:val="003B67DE"/>
    <w:rsid w:val="003C193E"/>
    <w:rsid w:val="003C19C7"/>
    <w:rsid w:val="003C4795"/>
    <w:rsid w:val="003C522E"/>
    <w:rsid w:val="003D7A61"/>
    <w:rsid w:val="003D7CD1"/>
    <w:rsid w:val="003E0D19"/>
    <w:rsid w:val="003E1599"/>
    <w:rsid w:val="003E4ED7"/>
    <w:rsid w:val="003E76B5"/>
    <w:rsid w:val="003F379E"/>
    <w:rsid w:val="003F591A"/>
    <w:rsid w:val="003F6256"/>
    <w:rsid w:val="003F692F"/>
    <w:rsid w:val="003F7FEC"/>
    <w:rsid w:val="00401034"/>
    <w:rsid w:val="00401882"/>
    <w:rsid w:val="00401A2A"/>
    <w:rsid w:val="0040314E"/>
    <w:rsid w:val="00403D13"/>
    <w:rsid w:val="00404DE1"/>
    <w:rsid w:val="00413C17"/>
    <w:rsid w:val="00413D5D"/>
    <w:rsid w:val="004149AC"/>
    <w:rsid w:val="0041652E"/>
    <w:rsid w:val="00417397"/>
    <w:rsid w:val="004174CC"/>
    <w:rsid w:val="0042038B"/>
    <w:rsid w:val="004218B3"/>
    <w:rsid w:val="00422947"/>
    <w:rsid w:val="004234DC"/>
    <w:rsid w:val="0042351C"/>
    <w:rsid w:val="0042457A"/>
    <w:rsid w:val="00425B98"/>
    <w:rsid w:val="0042661F"/>
    <w:rsid w:val="00427799"/>
    <w:rsid w:val="00430084"/>
    <w:rsid w:val="0043743F"/>
    <w:rsid w:val="004400CF"/>
    <w:rsid w:val="004409CF"/>
    <w:rsid w:val="004418BF"/>
    <w:rsid w:val="00441D39"/>
    <w:rsid w:val="00443892"/>
    <w:rsid w:val="00443CE4"/>
    <w:rsid w:val="00445325"/>
    <w:rsid w:val="00447A84"/>
    <w:rsid w:val="00450E87"/>
    <w:rsid w:val="004519B5"/>
    <w:rsid w:val="00452DD7"/>
    <w:rsid w:val="00454DBB"/>
    <w:rsid w:val="0046057E"/>
    <w:rsid w:val="00464011"/>
    <w:rsid w:val="0046635C"/>
    <w:rsid w:val="00466710"/>
    <w:rsid w:val="004710C1"/>
    <w:rsid w:val="00471394"/>
    <w:rsid w:val="00477B62"/>
    <w:rsid w:val="00480FA0"/>
    <w:rsid w:val="0048376A"/>
    <w:rsid w:val="00483D69"/>
    <w:rsid w:val="004861CD"/>
    <w:rsid w:val="00486C10"/>
    <w:rsid w:val="004923D5"/>
    <w:rsid w:val="00495B1E"/>
    <w:rsid w:val="00496F84"/>
    <w:rsid w:val="00497896"/>
    <w:rsid w:val="004A0369"/>
    <w:rsid w:val="004A104B"/>
    <w:rsid w:val="004A1202"/>
    <w:rsid w:val="004A3EAA"/>
    <w:rsid w:val="004A52DF"/>
    <w:rsid w:val="004A5D9D"/>
    <w:rsid w:val="004A62C6"/>
    <w:rsid w:val="004B231F"/>
    <w:rsid w:val="004C008F"/>
    <w:rsid w:val="004C4C73"/>
    <w:rsid w:val="004C50DA"/>
    <w:rsid w:val="004C64D7"/>
    <w:rsid w:val="004C7847"/>
    <w:rsid w:val="004D4CEF"/>
    <w:rsid w:val="004D6F2A"/>
    <w:rsid w:val="004E1451"/>
    <w:rsid w:val="004E3E6F"/>
    <w:rsid w:val="004F136D"/>
    <w:rsid w:val="00501016"/>
    <w:rsid w:val="00502DC2"/>
    <w:rsid w:val="00504E98"/>
    <w:rsid w:val="00506220"/>
    <w:rsid w:val="0050762F"/>
    <w:rsid w:val="00510391"/>
    <w:rsid w:val="005141B9"/>
    <w:rsid w:val="00515A31"/>
    <w:rsid w:val="005221AA"/>
    <w:rsid w:val="00526715"/>
    <w:rsid w:val="005269BA"/>
    <w:rsid w:val="00530CDD"/>
    <w:rsid w:val="005328AD"/>
    <w:rsid w:val="0053328D"/>
    <w:rsid w:val="00533527"/>
    <w:rsid w:val="00533CAA"/>
    <w:rsid w:val="00535DBC"/>
    <w:rsid w:val="00536851"/>
    <w:rsid w:val="005377FA"/>
    <w:rsid w:val="00544C7D"/>
    <w:rsid w:val="005527B5"/>
    <w:rsid w:val="00555666"/>
    <w:rsid w:val="005569EC"/>
    <w:rsid w:val="005575D4"/>
    <w:rsid w:val="00557CED"/>
    <w:rsid w:val="0056016F"/>
    <w:rsid w:val="005608ED"/>
    <w:rsid w:val="0056171E"/>
    <w:rsid w:val="005628D5"/>
    <w:rsid w:val="00564070"/>
    <w:rsid w:val="0056444F"/>
    <w:rsid w:val="005654A2"/>
    <w:rsid w:val="00573703"/>
    <w:rsid w:val="0058047A"/>
    <w:rsid w:val="00580956"/>
    <w:rsid w:val="005814DA"/>
    <w:rsid w:val="005821FF"/>
    <w:rsid w:val="0058245B"/>
    <w:rsid w:val="00582C98"/>
    <w:rsid w:val="005849E4"/>
    <w:rsid w:val="00584D8A"/>
    <w:rsid w:val="00590361"/>
    <w:rsid w:val="00593373"/>
    <w:rsid w:val="00593778"/>
    <w:rsid w:val="00593900"/>
    <w:rsid w:val="00595992"/>
    <w:rsid w:val="00596233"/>
    <w:rsid w:val="00597567"/>
    <w:rsid w:val="00597CD9"/>
    <w:rsid w:val="005A01C0"/>
    <w:rsid w:val="005A1042"/>
    <w:rsid w:val="005A14CE"/>
    <w:rsid w:val="005A27B3"/>
    <w:rsid w:val="005A3DA1"/>
    <w:rsid w:val="005A6280"/>
    <w:rsid w:val="005B0474"/>
    <w:rsid w:val="005B155E"/>
    <w:rsid w:val="005B362A"/>
    <w:rsid w:val="005B4D61"/>
    <w:rsid w:val="005B6547"/>
    <w:rsid w:val="005B7874"/>
    <w:rsid w:val="005C16EB"/>
    <w:rsid w:val="005C3368"/>
    <w:rsid w:val="005C4B51"/>
    <w:rsid w:val="005C73B3"/>
    <w:rsid w:val="005D1B3B"/>
    <w:rsid w:val="005D219B"/>
    <w:rsid w:val="005E2573"/>
    <w:rsid w:val="005E78AE"/>
    <w:rsid w:val="005F3C83"/>
    <w:rsid w:val="005F451D"/>
    <w:rsid w:val="006034BE"/>
    <w:rsid w:val="00605714"/>
    <w:rsid w:val="006102D6"/>
    <w:rsid w:val="00612BC2"/>
    <w:rsid w:val="0061611C"/>
    <w:rsid w:val="0061707E"/>
    <w:rsid w:val="006172D2"/>
    <w:rsid w:val="00624CEB"/>
    <w:rsid w:val="006276A2"/>
    <w:rsid w:val="00633F2C"/>
    <w:rsid w:val="0063715C"/>
    <w:rsid w:val="00637554"/>
    <w:rsid w:val="00640434"/>
    <w:rsid w:val="00641780"/>
    <w:rsid w:val="00641DC0"/>
    <w:rsid w:val="0064375A"/>
    <w:rsid w:val="00652581"/>
    <w:rsid w:val="006570E0"/>
    <w:rsid w:val="006606CD"/>
    <w:rsid w:val="00667B28"/>
    <w:rsid w:val="006735F7"/>
    <w:rsid w:val="006746B6"/>
    <w:rsid w:val="006756EB"/>
    <w:rsid w:val="00675E68"/>
    <w:rsid w:val="00676F93"/>
    <w:rsid w:val="00682227"/>
    <w:rsid w:val="006822F9"/>
    <w:rsid w:val="006843CC"/>
    <w:rsid w:val="00685976"/>
    <w:rsid w:val="00691717"/>
    <w:rsid w:val="0069264F"/>
    <w:rsid w:val="0069574A"/>
    <w:rsid w:val="0069576E"/>
    <w:rsid w:val="00695C8D"/>
    <w:rsid w:val="006A2AEF"/>
    <w:rsid w:val="006A35E8"/>
    <w:rsid w:val="006A5194"/>
    <w:rsid w:val="006B0FA2"/>
    <w:rsid w:val="006B2A50"/>
    <w:rsid w:val="006C0447"/>
    <w:rsid w:val="006C2630"/>
    <w:rsid w:val="006C7D96"/>
    <w:rsid w:val="006C7FB9"/>
    <w:rsid w:val="006D01D2"/>
    <w:rsid w:val="006D2E7C"/>
    <w:rsid w:val="006D3425"/>
    <w:rsid w:val="006D4996"/>
    <w:rsid w:val="006E00BC"/>
    <w:rsid w:val="006E0865"/>
    <w:rsid w:val="006E1181"/>
    <w:rsid w:val="006E1BA1"/>
    <w:rsid w:val="006E3164"/>
    <w:rsid w:val="006E3EFD"/>
    <w:rsid w:val="006E5B28"/>
    <w:rsid w:val="006E71A1"/>
    <w:rsid w:val="006F0801"/>
    <w:rsid w:val="006F09CA"/>
    <w:rsid w:val="006F1409"/>
    <w:rsid w:val="006F30C1"/>
    <w:rsid w:val="006F65FD"/>
    <w:rsid w:val="0070066F"/>
    <w:rsid w:val="007006CB"/>
    <w:rsid w:val="00702F02"/>
    <w:rsid w:val="00705439"/>
    <w:rsid w:val="00707AF3"/>
    <w:rsid w:val="00710415"/>
    <w:rsid w:val="007126CC"/>
    <w:rsid w:val="00726522"/>
    <w:rsid w:val="007270C2"/>
    <w:rsid w:val="007360F1"/>
    <w:rsid w:val="00736E19"/>
    <w:rsid w:val="0074098F"/>
    <w:rsid w:val="00741C49"/>
    <w:rsid w:val="007446BD"/>
    <w:rsid w:val="007449AC"/>
    <w:rsid w:val="0074607E"/>
    <w:rsid w:val="007463CC"/>
    <w:rsid w:val="007505EF"/>
    <w:rsid w:val="0075212E"/>
    <w:rsid w:val="00753661"/>
    <w:rsid w:val="00753DA4"/>
    <w:rsid w:val="00754C6D"/>
    <w:rsid w:val="007633B1"/>
    <w:rsid w:val="00763489"/>
    <w:rsid w:val="00770177"/>
    <w:rsid w:val="00771E84"/>
    <w:rsid w:val="007765E3"/>
    <w:rsid w:val="0078220E"/>
    <w:rsid w:val="00782F77"/>
    <w:rsid w:val="00785F24"/>
    <w:rsid w:val="007912D7"/>
    <w:rsid w:val="007923AD"/>
    <w:rsid w:val="00795443"/>
    <w:rsid w:val="007961AC"/>
    <w:rsid w:val="00796638"/>
    <w:rsid w:val="007974AA"/>
    <w:rsid w:val="007A03FD"/>
    <w:rsid w:val="007A06E1"/>
    <w:rsid w:val="007A102E"/>
    <w:rsid w:val="007B1B6C"/>
    <w:rsid w:val="007B259C"/>
    <w:rsid w:val="007B4B72"/>
    <w:rsid w:val="007B5596"/>
    <w:rsid w:val="007C0B04"/>
    <w:rsid w:val="007C18EC"/>
    <w:rsid w:val="007C4D0F"/>
    <w:rsid w:val="007D0C53"/>
    <w:rsid w:val="007D30E2"/>
    <w:rsid w:val="007D476F"/>
    <w:rsid w:val="007D55AF"/>
    <w:rsid w:val="007E03DC"/>
    <w:rsid w:val="007E18D0"/>
    <w:rsid w:val="007E3191"/>
    <w:rsid w:val="007E5D9B"/>
    <w:rsid w:val="007E650B"/>
    <w:rsid w:val="007F0C17"/>
    <w:rsid w:val="007F285B"/>
    <w:rsid w:val="007F3839"/>
    <w:rsid w:val="007F6D06"/>
    <w:rsid w:val="00803F99"/>
    <w:rsid w:val="00804312"/>
    <w:rsid w:val="0080476C"/>
    <w:rsid w:val="0081146E"/>
    <w:rsid w:val="008178B4"/>
    <w:rsid w:val="00817BBA"/>
    <w:rsid w:val="00820F8F"/>
    <w:rsid w:val="0082162C"/>
    <w:rsid w:val="00822038"/>
    <w:rsid w:val="00823A94"/>
    <w:rsid w:val="0082650F"/>
    <w:rsid w:val="00831660"/>
    <w:rsid w:val="00833E00"/>
    <w:rsid w:val="008405A4"/>
    <w:rsid w:val="00841902"/>
    <w:rsid w:val="00841F8A"/>
    <w:rsid w:val="0084217E"/>
    <w:rsid w:val="008424E7"/>
    <w:rsid w:val="00843EC5"/>
    <w:rsid w:val="008527C6"/>
    <w:rsid w:val="0085377E"/>
    <w:rsid w:val="0085651B"/>
    <w:rsid w:val="00857B7D"/>
    <w:rsid w:val="00864ABF"/>
    <w:rsid w:val="00865102"/>
    <w:rsid w:val="00865194"/>
    <w:rsid w:val="00866A1F"/>
    <w:rsid w:val="00870243"/>
    <w:rsid w:val="0087036E"/>
    <w:rsid w:val="008704CF"/>
    <w:rsid w:val="008707E5"/>
    <w:rsid w:val="0087211C"/>
    <w:rsid w:val="00873251"/>
    <w:rsid w:val="00873B3F"/>
    <w:rsid w:val="0087627C"/>
    <w:rsid w:val="00876974"/>
    <w:rsid w:val="0088471D"/>
    <w:rsid w:val="008861CF"/>
    <w:rsid w:val="008914DC"/>
    <w:rsid w:val="0089294B"/>
    <w:rsid w:val="00895DF8"/>
    <w:rsid w:val="008966BE"/>
    <w:rsid w:val="008A1530"/>
    <w:rsid w:val="008A1ED8"/>
    <w:rsid w:val="008A27EB"/>
    <w:rsid w:val="008A5710"/>
    <w:rsid w:val="008A60FE"/>
    <w:rsid w:val="008A7F12"/>
    <w:rsid w:val="008B3509"/>
    <w:rsid w:val="008B68C9"/>
    <w:rsid w:val="008C0C34"/>
    <w:rsid w:val="008C2DDB"/>
    <w:rsid w:val="008C3391"/>
    <w:rsid w:val="008C750D"/>
    <w:rsid w:val="008D0A52"/>
    <w:rsid w:val="008D3D90"/>
    <w:rsid w:val="008D4BFF"/>
    <w:rsid w:val="008D5128"/>
    <w:rsid w:val="008D7E04"/>
    <w:rsid w:val="008E0550"/>
    <w:rsid w:val="008E2820"/>
    <w:rsid w:val="008E64EB"/>
    <w:rsid w:val="008E6698"/>
    <w:rsid w:val="008E748B"/>
    <w:rsid w:val="008E7F2D"/>
    <w:rsid w:val="008F0915"/>
    <w:rsid w:val="008F4868"/>
    <w:rsid w:val="008F4948"/>
    <w:rsid w:val="008F566A"/>
    <w:rsid w:val="00900609"/>
    <w:rsid w:val="00901DB3"/>
    <w:rsid w:val="00903717"/>
    <w:rsid w:val="00905B57"/>
    <w:rsid w:val="00906456"/>
    <w:rsid w:val="0091332F"/>
    <w:rsid w:val="009137FC"/>
    <w:rsid w:val="00914466"/>
    <w:rsid w:val="00914B71"/>
    <w:rsid w:val="00914B9A"/>
    <w:rsid w:val="0092284A"/>
    <w:rsid w:val="009250A4"/>
    <w:rsid w:val="00927851"/>
    <w:rsid w:val="0093055A"/>
    <w:rsid w:val="009314F8"/>
    <w:rsid w:val="00931888"/>
    <w:rsid w:val="00934DB4"/>
    <w:rsid w:val="00934DD2"/>
    <w:rsid w:val="00935619"/>
    <w:rsid w:val="00936527"/>
    <w:rsid w:val="0094237C"/>
    <w:rsid w:val="009435EA"/>
    <w:rsid w:val="00945429"/>
    <w:rsid w:val="009465E7"/>
    <w:rsid w:val="00951DD0"/>
    <w:rsid w:val="00961721"/>
    <w:rsid w:val="00961962"/>
    <w:rsid w:val="00963281"/>
    <w:rsid w:val="00964058"/>
    <w:rsid w:val="00965E7A"/>
    <w:rsid w:val="00966A6D"/>
    <w:rsid w:val="0097523D"/>
    <w:rsid w:val="0097550B"/>
    <w:rsid w:val="00975537"/>
    <w:rsid w:val="00975D32"/>
    <w:rsid w:val="009764E9"/>
    <w:rsid w:val="009779D0"/>
    <w:rsid w:val="00980568"/>
    <w:rsid w:val="009847E7"/>
    <w:rsid w:val="0098488E"/>
    <w:rsid w:val="00984A12"/>
    <w:rsid w:val="00985E05"/>
    <w:rsid w:val="00986BCC"/>
    <w:rsid w:val="0099295F"/>
    <w:rsid w:val="0099309C"/>
    <w:rsid w:val="009A04DC"/>
    <w:rsid w:val="009A2E2A"/>
    <w:rsid w:val="009A3094"/>
    <w:rsid w:val="009A3865"/>
    <w:rsid w:val="009A533B"/>
    <w:rsid w:val="009A545F"/>
    <w:rsid w:val="009A5661"/>
    <w:rsid w:val="009B0CE8"/>
    <w:rsid w:val="009B1D11"/>
    <w:rsid w:val="009B56E4"/>
    <w:rsid w:val="009B5C7E"/>
    <w:rsid w:val="009C08D0"/>
    <w:rsid w:val="009C6226"/>
    <w:rsid w:val="009C74FA"/>
    <w:rsid w:val="009C7B3A"/>
    <w:rsid w:val="009D1875"/>
    <w:rsid w:val="009D343F"/>
    <w:rsid w:val="009D42AC"/>
    <w:rsid w:val="009D4EBB"/>
    <w:rsid w:val="009D6345"/>
    <w:rsid w:val="009D68B4"/>
    <w:rsid w:val="009E0E14"/>
    <w:rsid w:val="009E43E6"/>
    <w:rsid w:val="009E507B"/>
    <w:rsid w:val="009E50B2"/>
    <w:rsid w:val="009E5C0B"/>
    <w:rsid w:val="009E67A1"/>
    <w:rsid w:val="009F3D6A"/>
    <w:rsid w:val="009F4F1E"/>
    <w:rsid w:val="009F5AFC"/>
    <w:rsid w:val="009F7282"/>
    <w:rsid w:val="00A034E7"/>
    <w:rsid w:val="00A03F95"/>
    <w:rsid w:val="00A048FF"/>
    <w:rsid w:val="00A04A66"/>
    <w:rsid w:val="00A0504F"/>
    <w:rsid w:val="00A1224D"/>
    <w:rsid w:val="00A146FE"/>
    <w:rsid w:val="00A16702"/>
    <w:rsid w:val="00A17FF9"/>
    <w:rsid w:val="00A206F7"/>
    <w:rsid w:val="00A22D6A"/>
    <w:rsid w:val="00A22EDC"/>
    <w:rsid w:val="00A254E5"/>
    <w:rsid w:val="00A27B01"/>
    <w:rsid w:val="00A30981"/>
    <w:rsid w:val="00A30E9C"/>
    <w:rsid w:val="00A322DA"/>
    <w:rsid w:val="00A32CB2"/>
    <w:rsid w:val="00A344F6"/>
    <w:rsid w:val="00A348D8"/>
    <w:rsid w:val="00A34DF9"/>
    <w:rsid w:val="00A429A4"/>
    <w:rsid w:val="00A44E5A"/>
    <w:rsid w:val="00A47899"/>
    <w:rsid w:val="00A479B0"/>
    <w:rsid w:val="00A47FF0"/>
    <w:rsid w:val="00A565E4"/>
    <w:rsid w:val="00A57B04"/>
    <w:rsid w:val="00A60DEE"/>
    <w:rsid w:val="00A6403C"/>
    <w:rsid w:val="00A653A1"/>
    <w:rsid w:val="00A67616"/>
    <w:rsid w:val="00A74463"/>
    <w:rsid w:val="00A83C37"/>
    <w:rsid w:val="00A84374"/>
    <w:rsid w:val="00A84693"/>
    <w:rsid w:val="00A85B65"/>
    <w:rsid w:val="00A86166"/>
    <w:rsid w:val="00A86FFD"/>
    <w:rsid w:val="00A8725B"/>
    <w:rsid w:val="00A90EAB"/>
    <w:rsid w:val="00A9326C"/>
    <w:rsid w:val="00A94740"/>
    <w:rsid w:val="00A94F42"/>
    <w:rsid w:val="00A9550B"/>
    <w:rsid w:val="00A961A7"/>
    <w:rsid w:val="00A97CED"/>
    <w:rsid w:val="00AA2529"/>
    <w:rsid w:val="00AA33C7"/>
    <w:rsid w:val="00AA6BA1"/>
    <w:rsid w:val="00AB09DF"/>
    <w:rsid w:val="00AB1DDB"/>
    <w:rsid w:val="00AB2A44"/>
    <w:rsid w:val="00AC0F77"/>
    <w:rsid w:val="00AC2344"/>
    <w:rsid w:val="00AC3189"/>
    <w:rsid w:val="00AC3696"/>
    <w:rsid w:val="00AC37C0"/>
    <w:rsid w:val="00AC6459"/>
    <w:rsid w:val="00AC65F2"/>
    <w:rsid w:val="00AC7D1E"/>
    <w:rsid w:val="00AC7D65"/>
    <w:rsid w:val="00AD1CD6"/>
    <w:rsid w:val="00AD208E"/>
    <w:rsid w:val="00AD30EC"/>
    <w:rsid w:val="00AD340E"/>
    <w:rsid w:val="00AD468E"/>
    <w:rsid w:val="00AE0340"/>
    <w:rsid w:val="00AE104E"/>
    <w:rsid w:val="00AE1CA5"/>
    <w:rsid w:val="00AE4095"/>
    <w:rsid w:val="00AE5273"/>
    <w:rsid w:val="00AE55F8"/>
    <w:rsid w:val="00AE67D8"/>
    <w:rsid w:val="00AF270B"/>
    <w:rsid w:val="00AF2848"/>
    <w:rsid w:val="00AF3CA3"/>
    <w:rsid w:val="00AF4975"/>
    <w:rsid w:val="00AF6CED"/>
    <w:rsid w:val="00AF7CCE"/>
    <w:rsid w:val="00B00100"/>
    <w:rsid w:val="00B00B29"/>
    <w:rsid w:val="00B10F8B"/>
    <w:rsid w:val="00B12F78"/>
    <w:rsid w:val="00B1303E"/>
    <w:rsid w:val="00B13C2C"/>
    <w:rsid w:val="00B152E3"/>
    <w:rsid w:val="00B154CD"/>
    <w:rsid w:val="00B16FA7"/>
    <w:rsid w:val="00B20591"/>
    <w:rsid w:val="00B211BE"/>
    <w:rsid w:val="00B21481"/>
    <w:rsid w:val="00B23F1A"/>
    <w:rsid w:val="00B2450C"/>
    <w:rsid w:val="00B2790D"/>
    <w:rsid w:val="00B3102E"/>
    <w:rsid w:val="00B31D6D"/>
    <w:rsid w:val="00B32157"/>
    <w:rsid w:val="00B34BC4"/>
    <w:rsid w:val="00B41419"/>
    <w:rsid w:val="00B42899"/>
    <w:rsid w:val="00B43E31"/>
    <w:rsid w:val="00B44954"/>
    <w:rsid w:val="00B46840"/>
    <w:rsid w:val="00B50A6B"/>
    <w:rsid w:val="00B5111C"/>
    <w:rsid w:val="00B51E75"/>
    <w:rsid w:val="00B535CB"/>
    <w:rsid w:val="00B57798"/>
    <w:rsid w:val="00B61175"/>
    <w:rsid w:val="00B6147B"/>
    <w:rsid w:val="00B62B21"/>
    <w:rsid w:val="00B63A31"/>
    <w:rsid w:val="00B6471B"/>
    <w:rsid w:val="00B6602A"/>
    <w:rsid w:val="00B67DD2"/>
    <w:rsid w:val="00B7071C"/>
    <w:rsid w:val="00B70B0C"/>
    <w:rsid w:val="00B71082"/>
    <w:rsid w:val="00B746B3"/>
    <w:rsid w:val="00B748CE"/>
    <w:rsid w:val="00B74B25"/>
    <w:rsid w:val="00B76452"/>
    <w:rsid w:val="00B7734D"/>
    <w:rsid w:val="00B8020A"/>
    <w:rsid w:val="00B80583"/>
    <w:rsid w:val="00B81263"/>
    <w:rsid w:val="00B823B2"/>
    <w:rsid w:val="00B8335D"/>
    <w:rsid w:val="00B86362"/>
    <w:rsid w:val="00B86692"/>
    <w:rsid w:val="00B9725C"/>
    <w:rsid w:val="00BA08CF"/>
    <w:rsid w:val="00BA08DF"/>
    <w:rsid w:val="00BA1923"/>
    <w:rsid w:val="00BA379B"/>
    <w:rsid w:val="00BA38DB"/>
    <w:rsid w:val="00BA4AE7"/>
    <w:rsid w:val="00BA5561"/>
    <w:rsid w:val="00BB1E59"/>
    <w:rsid w:val="00BB1EEA"/>
    <w:rsid w:val="00BB4018"/>
    <w:rsid w:val="00BB4838"/>
    <w:rsid w:val="00BB4C91"/>
    <w:rsid w:val="00BB5200"/>
    <w:rsid w:val="00BB6F6A"/>
    <w:rsid w:val="00BB7029"/>
    <w:rsid w:val="00BB7319"/>
    <w:rsid w:val="00BB7746"/>
    <w:rsid w:val="00BB7F51"/>
    <w:rsid w:val="00BC1451"/>
    <w:rsid w:val="00BC2BCF"/>
    <w:rsid w:val="00BC68C1"/>
    <w:rsid w:val="00BD11FC"/>
    <w:rsid w:val="00BD38AC"/>
    <w:rsid w:val="00BD3E93"/>
    <w:rsid w:val="00BD3F0B"/>
    <w:rsid w:val="00BD4C3F"/>
    <w:rsid w:val="00BD58AA"/>
    <w:rsid w:val="00BD5976"/>
    <w:rsid w:val="00BD6A82"/>
    <w:rsid w:val="00BE344A"/>
    <w:rsid w:val="00BE626E"/>
    <w:rsid w:val="00BE7B68"/>
    <w:rsid w:val="00BF0680"/>
    <w:rsid w:val="00BF1F7B"/>
    <w:rsid w:val="00BF21F8"/>
    <w:rsid w:val="00BF28A5"/>
    <w:rsid w:val="00BF3193"/>
    <w:rsid w:val="00BF684B"/>
    <w:rsid w:val="00BF687B"/>
    <w:rsid w:val="00BF6F38"/>
    <w:rsid w:val="00C01908"/>
    <w:rsid w:val="00C0264E"/>
    <w:rsid w:val="00C0730C"/>
    <w:rsid w:val="00C13CAC"/>
    <w:rsid w:val="00C14700"/>
    <w:rsid w:val="00C15A26"/>
    <w:rsid w:val="00C25281"/>
    <w:rsid w:val="00C3167F"/>
    <w:rsid w:val="00C32253"/>
    <w:rsid w:val="00C33513"/>
    <w:rsid w:val="00C34F30"/>
    <w:rsid w:val="00C440A9"/>
    <w:rsid w:val="00C44F5C"/>
    <w:rsid w:val="00C45C11"/>
    <w:rsid w:val="00C5584D"/>
    <w:rsid w:val="00C55A38"/>
    <w:rsid w:val="00C61019"/>
    <w:rsid w:val="00C63EB2"/>
    <w:rsid w:val="00C645CF"/>
    <w:rsid w:val="00C70B4C"/>
    <w:rsid w:val="00C75DCB"/>
    <w:rsid w:val="00C8048C"/>
    <w:rsid w:val="00C83333"/>
    <w:rsid w:val="00C90DBF"/>
    <w:rsid w:val="00C93524"/>
    <w:rsid w:val="00C94FA5"/>
    <w:rsid w:val="00C95546"/>
    <w:rsid w:val="00C9586D"/>
    <w:rsid w:val="00C965DE"/>
    <w:rsid w:val="00C975DF"/>
    <w:rsid w:val="00C97B5E"/>
    <w:rsid w:val="00CA0C1C"/>
    <w:rsid w:val="00CA5E50"/>
    <w:rsid w:val="00CA627C"/>
    <w:rsid w:val="00CB4949"/>
    <w:rsid w:val="00CB73BF"/>
    <w:rsid w:val="00CC3043"/>
    <w:rsid w:val="00CD2FE1"/>
    <w:rsid w:val="00CD32C7"/>
    <w:rsid w:val="00CD336F"/>
    <w:rsid w:val="00CD649F"/>
    <w:rsid w:val="00CE1FDE"/>
    <w:rsid w:val="00CE2BDD"/>
    <w:rsid w:val="00CE48B4"/>
    <w:rsid w:val="00CE6487"/>
    <w:rsid w:val="00CE76F1"/>
    <w:rsid w:val="00CE7D8B"/>
    <w:rsid w:val="00CF21DC"/>
    <w:rsid w:val="00CF540B"/>
    <w:rsid w:val="00CF603A"/>
    <w:rsid w:val="00D00321"/>
    <w:rsid w:val="00D0322C"/>
    <w:rsid w:val="00D04113"/>
    <w:rsid w:val="00D04607"/>
    <w:rsid w:val="00D04A17"/>
    <w:rsid w:val="00D059F3"/>
    <w:rsid w:val="00D06760"/>
    <w:rsid w:val="00D074CB"/>
    <w:rsid w:val="00D07997"/>
    <w:rsid w:val="00D1459C"/>
    <w:rsid w:val="00D14FA6"/>
    <w:rsid w:val="00D1624B"/>
    <w:rsid w:val="00D17483"/>
    <w:rsid w:val="00D21B22"/>
    <w:rsid w:val="00D225B0"/>
    <w:rsid w:val="00D22827"/>
    <w:rsid w:val="00D26854"/>
    <w:rsid w:val="00D26B0D"/>
    <w:rsid w:val="00D34802"/>
    <w:rsid w:val="00D361E9"/>
    <w:rsid w:val="00D36FF5"/>
    <w:rsid w:val="00D4565C"/>
    <w:rsid w:val="00D45A62"/>
    <w:rsid w:val="00D47AF7"/>
    <w:rsid w:val="00D47F03"/>
    <w:rsid w:val="00D5427B"/>
    <w:rsid w:val="00D568FA"/>
    <w:rsid w:val="00D60AA6"/>
    <w:rsid w:val="00D60D69"/>
    <w:rsid w:val="00D61DEA"/>
    <w:rsid w:val="00D6245D"/>
    <w:rsid w:val="00D63068"/>
    <w:rsid w:val="00D674F6"/>
    <w:rsid w:val="00D70122"/>
    <w:rsid w:val="00D70F6E"/>
    <w:rsid w:val="00D72D21"/>
    <w:rsid w:val="00D8147D"/>
    <w:rsid w:val="00D85152"/>
    <w:rsid w:val="00D872B2"/>
    <w:rsid w:val="00D9219A"/>
    <w:rsid w:val="00D9299B"/>
    <w:rsid w:val="00D96B49"/>
    <w:rsid w:val="00DA09EC"/>
    <w:rsid w:val="00DA61ED"/>
    <w:rsid w:val="00DA6CCA"/>
    <w:rsid w:val="00DB13B2"/>
    <w:rsid w:val="00DB2029"/>
    <w:rsid w:val="00DB4DAB"/>
    <w:rsid w:val="00DB5B47"/>
    <w:rsid w:val="00DC0D68"/>
    <w:rsid w:val="00DC37B3"/>
    <w:rsid w:val="00DC3DB9"/>
    <w:rsid w:val="00DC67A3"/>
    <w:rsid w:val="00DC7CFA"/>
    <w:rsid w:val="00DD3DEA"/>
    <w:rsid w:val="00DD456E"/>
    <w:rsid w:val="00DD4FC2"/>
    <w:rsid w:val="00DD6CA5"/>
    <w:rsid w:val="00DE13CD"/>
    <w:rsid w:val="00DE156F"/>
    <w:rsid w:val="00DE54F4"/>
    <w:rsid w:val="00DF04FD"/>
    <w:rsid w:val="00DF2178"/>
    <w:rsid w:val="00DF3EC6"/>
    <w:rsid w:val="00DF40EF"/>
    <w:rsid w:val="00DF6552"/>
    <w:rsid w:val="00DF70BA"/>
    <w:rsid w:val="00E0219B"/>
    <w:rsid w:val="00E03AC9"/>
    <w:rsid w:val="00E06E5C"/>
    <w:rsid w:val="00E11EA2"/>
    <w:rsid w:val="00E14295"/>
    <w:rsid w:val="00E20BAE"/>
    <w:rsid w:val="00E218C1"/>
    <w:rsid w:val="00E263E1"/>
    <w:rsid w:val="00E2683C"/>
    <w:rsid w:val="00E31867"/>
    <w:rsid w:val="00E31C6A"/>
    <w:rsid w:val="00E31E68"/>
    <w:rsid w:val="00E341B4"/>
    <w:rsid w:val="00E34DA9"/>
    <w:rsid w:val="00E3533D"/>
    <w:rsid w:val="00E40F5F"/>
    <w:rsid w:val="00E4329C"/>
    <w:rsid w:val="00E4448A"/>
    <w:rsid w:val="00E46197"/>
    <w:rsid w:val="00E475CB"/>
    <w:rsid w:val="00E50C78"/>
    <w:rsid w:val="00E51234"/>
    <w:rsid w:val="00E517A2"/>
    <w:rsid w:val="00E52748"/>
    <w:rsid w:val="00E55436"/>
    <w:rsid w:val="00E60890"/>
    <w:rsid w:val="00E624D7"/>
    <w:rsid w:val="00E657F5"/>
    <w:rsid w:val="00E65CC8"/>
    <w:rsid w:val="00E66343"/>
    <w:rsid w:val="00E72075"/>
    <w:rsid w:val="00E742B1"/>
    <w:rsid w:val="00E755C8"/>
    <w:rsid w:val="00E777DF"/>
    <w:rsid w:val="00E77A35"/>
    <w:rsid w:val="00E82387"/>
    <w:rsid w:val="00E91766"/>
    <w:rsid w:val="00E931A4"/>
    <w:rsid w:val="00E945DB"/>
    <w:rsid w:val="00E95DBC"/>
    <w:rsid w:val="00E9663D"/>
    <w:rsid w:val="00EA1F95"/>
    <w:rsid w:val="00EA39E6"/>
    <w:rsid w:val="00EA4FF4"/>
    <w:rsid w:val="00EA707D"/>
    <w:rsid w:val="00EB1487"/>
    <w:rsid w:val="00EB23BB"/>
    <w:rsid w:val="00EB35DA"/>
    <w:rsid w:val="00EB3960"/>
    <w:rsid w:val="00EB3EAF"/>
    <w:rsid w:val="00EB4483"/>
    <w:rsid w:val="00EB6051"/>
    <w:rsid w:val="00EB7303"/>
    <w:rsid w:val="00EB7863"/>
    <w:rsid w:val="00EC7306"/>
    <w:rsid w:val="00ED10F7"/>
    <w:rsid w:val="00ED1652"/>
    <w:rsid w:val="00ED6B0C"/>
    <w:rsid w:val="00EE0D10"/>
    <w:rsid w:val="00EE1264"/>
    <w:rsid w:val="00EE18C6"/>
    <w:rsid w:val="00EE2388"/>
    <w:rsid w:val="00EE3E1E"/>
    <w:rsid w:val="00EE4FBD"/>
    <w:rsid w:val="00EF0B57"/>
    <w:rsid w:val="00EF0B72"/>
    <w:rsid w:val="00EF0D44"/>
    <w:rsid w:val="00EF20FC"/>
    <w:rsid w:val="00EF28E8"/>
    <w:rsid w:val="00EF33B4"/>
    <w:rsid w:val="00EF3CB7"/>
    <w:rsid w:val="00EF6EBB"/>
    <w:rsid w:val="00F0068A"/>
    <w:rsid w:val="00F03574"/>
    <w:rsid w:val="00F042AE"/>
    <w:rsid w:val="00F047DF"/>
    <w:rsid w:val="00F05999"/>
    <w:rsid w:val="00F126F3"/>
    <w:rsid w:val="00F12CF4"/>
    <w:rsid w:val="00F151FD"/>
    <w:rsid w:val="00F17C10"/>
    <w:rsid w:val="00F20EF5"/>
    <w:rsid w:val="00F20F53"/>
    <w:rsid w:val="00F21443"/>
    <w:rsid w:val="00F24491"/>
    <w:rsid w:val="00F24916"/>
    <w:rsid w:val="00F24A5A"/>
    <w:rsid w:val="00F278BA"/>
    <w:rsid w:val="00F3017A"/>
    <w:rsid w:val="00F31AB4"/>
    <w:rsid w:val="00F40CEB"/>
    <w:rsid w:val="00F433EC"/>
    <w:rsid w:val="00F435A4"/>
    <w:rsid w:val="00F45448"/>
    <w:rsid w:val="00F509EE"/>
    <w:rsid w:val="00F51EA1"/>
    <w:rsid w:val="00F53F60"/>
    <w:rsid w:val="00F54545"/>
    <w:rsid w:val="00F54F9F"/>
    <w:rsid w:val="00F56B81"/>
    <w:rsid w:val="00F5740C"/>
    <w:rsid w:val="00F65A18"/>
    <w:rsid w:val="00F665FB"/>
    <w:rsid w:val="00F71F90"/>
    <w:rsid w:val="00F7280D"/>
    <w:rsid w:val="00F744FC"/>
    <w:rsid w:val="00F757B7"/>
    <w:rsid w:val="00F76758"/>
    <w:rsid w:val="00F810D3"/>
    <w:rsid w:val="00F832B7"/>
    <w:rsid w:val="00F8379A"/>
    <w:rsid w:val="00F960A6"/>
    <w:rsid w:val="00FA0F48"/>
    <w:rsid w:val="00FA1FDA"/>
    <w:rsid w:val="00FA69E4"/>
    <w:rsid w:val="00FA7DF9"/>
    <w:rsid w:val="00FB0C82"/>
    <w:rsid w:val="00FB4BD1"/>
    <w:rsid w:val="00FB4C6D"/>
    <w:rsid w:val="00FC0522"/>
    <w:rsid w:val="00FC2212"/>
    <w:rsid w:val="00FC2BF0"/>
    <w:rsid w:val="00FC5811"/>
    <w:rsid w:val="00FC7771"/>
    <w:rsid w:val="00FD0B6E"/>
    <w:rsid w:val="00FD284E"/>
    <w:rsid w:val="00FD5ED9"/>
    <w:rsid w:val="00FD6567"/>
    <w:rsid w:val="00FD7EC4"/>
    <w:rsid w:val="00FE316F"/>
    <w:rsid w:val="00FE50A2"/>
    <w:rsid w:val="00FE53F4"/>
    <w:rsid w:val="00FE6ACA"/>
    <w:rsid w:val="00FE718D"/>
    <w:rsid w:val="00FE7F65"/>
    <w:rsid w:val="00FF2270"/>
    <w:rsid w:val="00FF2DFD"/>
    <w:rsid w:val="00FF2FF8"/>
    <w:rsid w:val="00FF549D"/>
    <w:rsid w:val="5965F7A0"/>
    <w:rsid w:val="7D7A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2CE"/>
  <w15:chartTrackingRefBased/>
  <w15:docId w15:val="{CB073654-CAEF-460A-BF4A-AFE19CDD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3B"/>
    <w:pPr>
      <w:tabs>
        <w:tab w:val="left" w:pos="2431"/>
      </w:tabs>
      <w:spacing w:after="240" w:line="240" w:lineRule="auto"/>
    </w:pPr>
    <w:rPr>
      <w:rFonts w:ascii="Segoe UI" w:hAnsi="Segoe UI"/>
    </w:rPr>
  </w:style>
  <w:style w:type="paragraph" w:styleId="Heading1">
    <w:name w:val="heading 1"/>
    <w:next w:val="Normal"/>
    <w:link w:val="Heading1Char"/>
    <w:uiPriority w:val="9"/>
    <w:qFormat/>
    <w:rsid w:val="009A533B"/>
    <w:pPr>
      <w:keepNext/>
      <w:keepLines/>
      <w:pBdr>
        <w:bottom w:val="single" w:sz="2" w:space="1" w:color="C7202F" w:themeColor="accent1"/>
      </w:pBdr>
      <w:spacing w:before="360" w:after="480" w:line="240" w:lineRule="auto"/>
      <w:outlineLvl w:val="0"/>
    </w:pPr>
    <w:rPr>
      <w:rFonts w:ascii="Segoe UI" w:eastAsiaTheme="majorEastAsia" w:hAnsi="Segoe UI" w:cs="Segoe UI"/>
      <w:caps/>
      <w:color w:val="C7202F" w:themeColor="accent1"/>
      <w:sz w:val="52"/>
      <w:szCs w:val="52"/>
    </w:rPr>
  </w:style>
  <w:style w:type="paragraph" w:styleId="Heading2">
    <w:name w:val="heading 2"/>
    <w:next w:val="Normal"/>
    <w:link w:val="Heading2Char"/>
    <w:uiPriority w:val="9"/>
    <w:unhideWhenUsed/>
    <w:qFormat/>
    <w:rsid w:val="00876974"/>
    <w:pPr>
      <w:keepNext/>
      <w:keepLines/>
      <w:spacing w:before="360" w:after="240" w:line="240" w:lineRule="auto"/>
      <w:outlineLvl w:val="1"/>
    </w:pPr>
    <w:rPr>
      <w:rFonts w:ascii="Segoe UI Semibold" w:eastAsiaTheme="majorEastAsia" w:hAnsi="Segoe UI Semibold" w:cs="Segoe UI Semibold"/>
      <w:caps/>
      <w:color w:val="2D3338" w:themeColor="text2" w:themeShade="80"/>
      <w:sz w:val="36"/>
      <w:szCs w:val="36"/>
    </w:rPr>
  </w:style>
  <w:style w:type="paragraph" w:styleId="Heading3">
    <w:name w:val="heading 3"/>
    <w:next w:val="Normal"/>
    <w:link w:val="Heading3Char"/>
    <w:uiPriority w:val="9"/>
    <w:unhideWhenUsed/>
    <w:qFormat/>
    <w:rsid w:val="009A533B"/>
    <w:pPr>
      <w:keepNext/>
      <w:keepLines/>
      <w:spacing w:before="360" w:after="240" w:line="240" w:lineRule="auto"/>
      <w:outlineLvl w:val="2"/>
    </w:pPr>
    <w:rPr>
      <w:rFonts w:ascii="Segoe UI Semilight" w:eastAsiaTheme="majorEastAsia" w:hAnsi="Segoe UI Semilight" w:cs="Segoe UI Semilight"/>
      <w:caps/>
      <w:color w:val="2D3338" w:themeColor="text2" w:themeShade="80"/>
      <w:sz w:val="32"/>
      <w:szCs w:val="32"/>
    </w:rPr>
  </w:style>
  <w:style w:type="paragraph" w:styleId="Heading4">
    <w:name w:val="heading 4"/>
    <w:next w:val="Normal"/>
    <w:link w:val="Heading4Char"/>
    <w:uiPriority w:val="9"/>
    <w:unhideWhenUsed/>
    <w:qFormat/>
    <w:rsid w:val="009A533B"/>
    <w:pPr>
      <w:keepNext/>
      <w:keepLines/>
      <w:spacing w:before="240" w:after="240" w:line="240" w:lineRule="auto"/>
      <w:outlineLvl w:val="3"/>
    </w:pPr>
    <w:rPr>
      <w:rFonts w:ascii="Segoe UI Light" w:eastAsiaTheme="majorEastAsia" w:hAnsi="Segoe UI Light" w:cs="Segoe UI Light"/>
      <w:b/>
      <w:i/>
      <w:iCs/>
      <w:caps/>
      <w:color w:val="2A363B" w:themeColor="text1"/>
      <w:sz w:val="24"/>
      <w:szCs w:val="24"/>
    </w:rPr>
  </w:style>
  <w:style w:type="paragraph" w:styleId="Heading5">
    <w:name w:val="heading 5"/>
    <w:basedOn w:val="Normal"/>
    <w:next w:val="Normal"/>
    <w:link w:val="Heading5Char"/>
    <w:uiPriority w:val="9"/>
    <w:unhideWhenUsed/>
    <w:qFormat/>
    <w:rsid w:val="009A533B"/>
    <w:pPr>
      <w:keepNext/>
      <w:keepLines/>
      <w:spacing w:before="240"/>
      <w:outlineLvl w:val="4"/>
    </w:pPr>
    <w:rPr>
      <w:rFonts w:eastAsiaTheme="majorEastAsia" w:cs="Segoe UI"/>
      <w:caps/>
      <w:sz w:val="24"/>
      <w:szCs w:val="24"/>
    </w:rPr>
  </w:style>
  <w:style w:type="paragraph" w:styleId="Heading6">
    <w:name w:val="heading 6"/>
    <w:basedOn w:val="Normal"/>
    <w:next w:val="Normal"/>
    <w:link w:val="Heading6Char"/>
    <w:uiPriority w:val="9"/>
    <w:unhideWhenUsed/>
    <w:qFormat/>
    <w:rsid w:val="009A533B"/>
    <w:pPr>
      <w:keepNext/>
      <w:keepLines/>
      <w:spacing w:before="240"/>
      <w:outlineLvl w:val="5"/>
    </w:pPr>
    <w:rPr>
      <w:rFonts w:eastAsiaTheme="majorEastAsia" w:cs="Segoe UI"/>
      <w:i/>
      <w:sz w:val="24"/>
      <w:szCs w:val="24"/>
    </w:rPr>
  </w:style>
  <w:style w:type="paragraph" w:styleId="Heading7">
    <w:name w:val="heading 7"/>
    <w:basedOn w:val="Normal"/>
    <w:next w:val="Normal"/>
    <w:link w:val="Heading7Char"/>
    <w:uiPriority w:val="9"/>
    <w:semiHidden/>
    <w:unhideWhenUsed/>
    <w:qFormat/>
    <w:rsid w:val="00A344F6"/>
    <w:pPr>
      <w:keepNext/>
      <w:keepLines/>
      <w:spacing w:before="40" w:after="0"/>
      <w:outlineLvl w:val="6"/>
    </w:pPr>
    <w:rPr>
      <w:rFonts w:asciiTheme="majorHAnsi" w:eastAsiaTheme="majorEastAsia" w:hAnsiTheme="majorHAnsi" w:cstheme="majorBidi"/>
      <w:i/>
      <w:iCs/>
      <w:color w:val="6310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557CED"/>
    <w:pPr>
      <w:tabs>
        <w:tab w:val="right" w:pos="9360"/>
      </w:tabs>
      <w:spacing w:after="0" w:line="240" w:lineRule="auto"/>
    </w:pPr>
    <w:rPr>
      <w:rFonts w:ascii="Segoe UI Semilight" w:hAnsi="Segoe UI Semilight" w:cs="Segoe UI Semilight"/>
      <w:i/>
      <w:color w:val="767171" w:themeColor="background2" w:themeShade="80"/>
      <w:sz w:val="18"/>
      <w:szCs w:val="18"/>
    </w:rPr>
  </w:style>
  <w:style w:type="character" w:customStyle="1" w:styleId="HeaderChar">
    <w:name w:val="Header Char"/>
    <w:basedOn w:val="DefaultParagraphFont"/>
    <w:link w:val="Header"/>
    <w:uiPriority w:val="99"/>
    <w:rsid w:val="00557CED"/>
    <w:rPr>
      <w:rFonts w:ascii="Segoe UI Semilight" w:hAnsi="Segoe UI Semilight" w:cs="Segoe UI Semilight"/>
      <w:i/>
      <w:color w:val="767171" w:themeColor="background2" w:themeShade="80"/>
      <w:sz w:val="18"/>
      <w:szCs w:val="18"/>
    </w:rPr>
  </w:style>
  <w:style w:type="paragraph" w:styleId="Footer">
    <w:name w:val="footer"/>
    <w:basedOn w:val="Header"/>
    <w:link w:val="FooterChar"/>
    <w:uiPriority w:val="99"/>
    <w:unhideWhenUsed/>
    <w:qFormat/>
    <w:rsid w:val="004C64D7"/>
    <w:pPr>
      <w:tabs>
        <w:tab w:val="center" w:pos="5040"/>
      </w:tabs>
    </w:pPr>
  </w:style>
  <w:style w:type="character" w:customStyle="1" w:styleId="FooterChar">
    <w:name w:val="Footer Char"/>
    <w:basedOn w:val="DefaultParagraphFont"/>
    <w:link w:val="Footer"/>
    <w:uiPriority w:val="99"/>
    <w:rsid w:val="004C64D7"/>
    <w:rPr>
      <w:rFonts w:ascii="Segoe UI Semilight" w:hAnsi="Segoe UI Semilight" w:cs="Segoe UI Semilight"/>
      <w:i/>
      <w:color w:val="767171" w:themeColor="background2" w:themeShade="80"/>
      <w:sz w:val="18"/>
      <w:szCs w:val="18"/>
    </w:rPr>
  </w:style>
  <w:style w:type="character" w:styleId="SubtleEmphasis">
    <w:name w:val="Subtle Emphasis"/>
    <w:basedOn w:val="DefaultParagraphFont"/>
    <w:uiPriority w:val="19"/>
    <w:qFormat/>
    <w:rsid w:val="00726522"/>
    <w:rPr>
      <w:rFonts w:ascii="Segoe UI Light" w:hAnsi="Segoe UI Light" w:cs="Segoe UI Light"/>
      <w:i/>
      <w:iCs/>
      <w:color w:val="2A363B" w:themeColor="text1"/>
      <w:sz w:val="56"/>
      <w:szCs w:val="56"/>
    </w:rPr>
  </w:style>
  <w:style w:type="character" w:styleId="Emphasis">
    <w:name w:val="Emphasis"/>
    <w:basedOn w:val="DefaultParagraphFont"/>
    <w:uiPriority w:val="20"/>
    <w:qFormat/>
    <w:rsid w:val="00641DC0"/>
    <w:rPr>
      <w:i/>
      <w:iCs/>
    </w:rPr>
  </w:style>
  <w:style w:type="character" w:customStyle="1" w:styleId="Heading2Char">
    <w:name w:val="Heading 2 Char"/>
    <w:basedOn w:val="DefaultParagraphFont"/>
    <w:link w:val="Heading2"/>
    <w:uiPriority w:val="9"/>
    <w:rsid w:val="00876974"/>
    <w:rPr>
      <w:rFonts w:ascii="Segoe UI Semibold" w:eastAsiaTheme="majorEastAsia" w:hAnsi="Segoe UI Semibold" w:cs="Segoe UI Semibold"/>
      <w:caps/>
      <w:color w:val="2D3338" w:themeColor="text2" w:themeShade="80"/>
      <w:sz w:val="36"/>
      <w:szCs w:val="36"/>
    </w:rPr>
  </w:style>
  <w:style w:type="character" w:customStyle="1" w:styleId="Heading1Char">
    <w:name w:val="Heading 1 Char"/>
    <w:basedOn w:val="DefaultParagraphFont"/>
    <w:link w:val="Heading1"/>
    <w:uiPriority w:val="9"/>
    <w:rsid w:val="009A533B"/>
    <w:rPr>
      <w:rFonts w:ascii="Segoe UI" w:eastAsiaTheme="majorEastAsia" w:hAnsi="Segoe UI" w:cs="Segoe UI"/>
      <w:caps/>
      <w:color w:val="C7202F" w:themeColor="accent1"/>
      <w:sz w:val="52"/>
      <w:szCs w:val="52"/>
    </w:rPr>
  </w:style>
  <w:style w:type="character" w:customStyle="1" w:styleId="Heading3Char">
    <w:name w:val="Heading 3 Char"/>
    <w:basedOn w:val="DefaultParagraphFont"/>
    <w:link w:val="Heading3"/>
    <w:uiPriority w:val="9"/>
    <w:rsid w:val="009A533B"/>
    <w:rPr>
      <w:rFonts w:ascii="Segoe UI Semilight" w:eastAsiaTheme="majorEastAsia" w:hAnsi="Segoe UI Semilight" w:cs="Segoe UI Semilight"/>
      <w:caps/>
      <w:color w:val="2D3338" w:themeColor="text2" w:themeShade="80"/>
      <w:sz w:val="32"/>
      <w:szCs w:val="32"/>
    </w:rPr>
  </w:style>
  <w:style w:type="paragraph" w:styleId="Title">
    <w:name w:val="Title"/>
    <w:basedOn w:val="Normal"/>
    <w:next w:val="Normal"/>
    <w:link w:val="TitleChar"/>
    <w:uiPriority w:val="10"/>
    <w:qFormat/>
    <w:rsid w:val="003A0A76"/>
    <w:pPr>
      <w:spacing w:after="0"/>
    </w:pPr>
    <w:rPr>
      <w:rFonts w:ascii="Segoe UI Black" w:hAnsi="Segoe UI Black"/>
      <w:b/>
      <w:caps/>
      <w:color w:val="C7202F" w:themeColor="accent1"/>
      <w:sz w:val="72"/>
      <w:szCs w:val="72"/>
    </w:rPr>
  </w:style>
  <w:style w:type="character" w:customStyle="1" w:styleId="TitleChar">
    <w:name w:val="Title Char"/>
    <w:basedOn w:val="DefaultParagraphFont"/>
    <w:link w:val="Title"/>
    <w:uiPriority w:val="10"/>
    <w:rsid w:val="003A0A76"/>
    <w:rPr>
      <w:rFonts w:ascii="Segoe UI Black" w:hAnsi="Segoe UI Black"/>
      <w:b/>
      <w:caps/>
      <w:color w:val="C7202F" w:themeColor="accent1"/>
      <w:sz w:val="72"/>
      <w:szCs w:val="72"/>
    </w:rPr>
  </w:style>
  <w:style w:type="paragraph" w:styleId="Subtitle">
    <w:name w:val="Subtitle"/>
    <w:basedOn w:val="Normal"/>
    <w:next w:val="Normal"/>
    <w:link w:val="SubtitleChar"/>
    <w:uiPriority w:val="11"/>
    <w:qFormat/>
    <w:rsid w:val="003A0A76"/>
    <w:pPr>
      <w:spacing w:after="160"/>
    </w:pPr>
    <w:rPr>
      <w:rFonts w:ascii="Segoe UI Light" w:hAnsi="Segoe UI Light" w:cs="Segoe UI Light"/>
      <w:caps/>
      <w:color w:val="2A363B" w:themeColor="text1"/>
      <w:sz w:val="56"/>
      <w:szCs w:val="56"/>
    </w:rPr>
  </w:style>
  <w:style w:type="character" w:customStyle="1" w:styleId="SubtitleChar">
    <w:name w:val="Subtitle Char"/>
    <w:basedOn w:val="DefaultParagraphFont"/>
    <w:link w:val="Subtitle"/>
    <w:uiPriority w:val="11"/>
    <w:rsid w:val="003A0A76"/>
    <w:rPr>
      <w:rFonts w:ascii="Segoe UI Light" w:hAnsi="Segoe UI Light" w:cs="Segoe UI Light"/>
      <w:caps/>
      <w:color w:val="2A363B" w:themeColor="text1"/>
      <w:sz w:val="56"/>
      <w:szCs w:val="56"/>
    </w:rPr>
  </w:style>
  <w:style w:type="character" w:styleId="IntenseEmphasis">
    <w:name w:val="Intense Emphasis"/>
    <w:basedOn w:val="DefaultParagraphFont"/>
    <w:uiPriority w:val="21"/>
    <w:qFormat/>
    <w:rsid w:val="00641DC0"/>
    <w:rPr>
      <w:i/>
      <w:iCs/>
      <w:color w:val="E13A3E"/>
    </w:rPr>
  </w:style>
  <w:style w:type="character" w:styleId="Strong">
    <w:name w:val="Strong"/>
    <w:uiPriority w:val="22"/>
    <w:qFormat/>
    <w:rsid w:val="00641DC0"/>
    <w:rPr>
      <w:b/>
      <w:bCs/>
    </w:rPr>
  </w:style>
  <w:style w:type="character" w:customStyle="1" w:styleId="Heading4Char">
    <w:name w:val="Heading 4 Char"/>
    <w:basedOn w:val="DefaultParagraphFont"/>
    <w:link w:val="Heading4"/>
    <w:uiPriority w:val="9"/>
    <w:rsid w:val="009A533B"/>
    <w:rPr>
      <w:rFonts w:ascii="Segoe UI Light" w:eastAsiaTheme="majorEastAsia" w:hAnsi="Segoe UI Light" w:cs="Segoe UI Light"/>
      <w:b/>
      <w:i/>
      <w:iCs/>
      <w:caps/>
      <w:color w:val="2A363B" w:themeColor="text1"/>
      <w:sz w:val="24"/>
      <w:szCs w:val="24"/>
    </w:rPr>
  </w:style>
  <w:style w:type="table" w:styleId="TableGrid">
    <w:name w:val="Table Grid"/>
    <w:basedOn w:val="TableNormal"/>
    <w:uiPriority w:val="39"/>
    <w:rsid w:val="0064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aliases w:val="SPP Report Template"/>
    <w:basedOn w:val="TableNormal"/>
    <w:uiPriority w:val="49"/>
    <w:rsid w:val="00B43E31"/>
    <w:pPr>
      <w:spacing w:after="0" w:line="240" w:lineRule="auto"/>
    </w:pPr>
    <w:rPr>
      <w:rFonts w:ascii="Segoe UI" w:hAnsi="Segoe UI"/>
    </w:rPr>
    <w:tblPr>
      <w:tblStyleRowBandSize w:val="1"/>
      <w:tblStyleColBandSize w:val="1"/>
      <w:tblBorders>
        <w:insideH w:val="single" w:sz="8" w:space="0" w:color="FFFFFF" w:themeColor="background1"/>
        <w:insideV w:val="single" w:sz="8" w:space="0" w:color="FFFFFF" w:themeColor="background1"/>
      </w:tblBorders>
      <w:tblCellMar>
        <w:top w:w="72" w:type="dxa"/>
        <w:left w:w="115" w:type="dxa"/>
        <w:bottom w:w="144" w:type="dxa"/>
        <w:right w:w="115" w:type="dxa"/>
      </w:tblCellMar>
    </w:tblPr>
    <w:tcPr>
      <w:vAlign w:val="center"/>
    </w:tcPr>
    <w:tblStylePr w:type="firstRow">
      <w:rPr>
        <w:b/>
        <w:bCs/>
        <w:color w:val="FFFFFF" w:themeColor="background1"/>
      </w:rPr>
      <w:tblPr/>
      <w:tcPr>
        <w:tcBorders>
          <w:top w:val="single" w:sz="4" w:space="0" w:color="2A363B" w:themeColor="text1"/>
          <w:left w:val="single" w:sz="4" w:space="0" w:color="2A363B" w:themeColor="text1"/>
          <w:bottom w:val="single" w:sz="4" w:space="0" w:color="2A363B" w:themeColor="text1"/>
          <w:right w:val="single" w:sz="4" w:space="0" w:color="2A363B" w:themeColor="text1"/>
          <w:insideH w:val="nil"/>
        </w:tcBorders>
        <w:shd w:val="clear" w:color="auto" w:fill="2A363B" w:themeFill="text1"/>
      </w:tcPr>
    </w:tblStylePr>
    <w:tblStylePr w:type="lastRow">
      <w:rPr>
        <w:b/>
        <w:bCs/>
      </w:rPr>
      <w:tblPr/>
      <w:tcPr>
        <w:tcBorders>
          <w:top w:val="double" w:sz="4" w:space="0" w:color="6F8C98" w:themeColor="text1" w:themeTint="99"/>
        </w:tcBorders>
      </w:tcPr>
    </w:tblStylePr>
    <w:tblStylePr w:type="firstCol">
      <w:rPr>
        <w:b/>
        <w:bCs/>
      </w:rPr>
    </w:tblStylePr>
    <w:tblStylePr w:type="lastCol">
      <w:rPr>
        <w:b/>
        <w:bCs/>
      </w:rPr>
    </w:tblStylePr>
    <w:tblStylePr w:type="band1Vert">
      <w:tblPr/>
      <w:tcPr>
        <w:shd w:val="clear" w:color="auto" w:fill="CFD8DD" w:themeFill="text1" w:themeFillTint="33"/>
      </w:tcPr>
    </w:tblStylePr>
    <w:tblStylePr w:type="band1Horz">
      <w:tblPr/>
      <w:tcPr>
        <w:shd w:val="clear" w:color="auto" w:fill="CFD8DD" w:themeFill="text1" w:themeFillTint="33"/>
      </w:tcPr>
    </w:tblStylePr>
  </w:style>
  <w:style w:type="paragraph" w:styleId="TOCHeading">
    <w:name w:val="TOC Heading"/>
    <w:basedOn w:val="Heading1"/>
    <w:next w:val="Normal"/>
    <w:uiPriority w:val="39"/>
    <w:unhideWhenUsed/>
    <w:qFormat/>
    <w:rsid w:val="00FD0B6E"/>
    <w:pPr>
      <w:outlineLvl w:val="9"/>
    </w:pPr>
  </w:style>
  <w:style w:type="paragraph" w:styleId="TOC1">
    <w:name w:val="toc 1"/>
    <w:basedOn w:val="Normal"/>
    <w:next w:val="Normal"/>
    <w:uiPriority w:val="39"/>
    <w:unhideWhenUsed/>
    <w:qFormat/>
    <w:rsid w:val="00E931A4"/>
    <w:pPr>
      <w:tabs>
        <w:tab w:val="clear" w:pos="2431"/>
        <w:tab w:val="right" w:leader="dot" w:pos="9350"/>
      </w:tabs>
      <w:spacing w:after="100"/>
    </w:pPr>
    <w:rPr>
      <w:rFonts w:cs="Segoe UI"/>
      <w:caps/>
      <w:noProof/>
    </w:rPr>
  </w:style>
  <w:style w:type="character" w:styleId="Hyperlink">
    <w:name w:val="Hyperlink"/>
    <w:basedOn w:val="DefaultParagraphFont"/>
    <w:uiPriority w:val="99"/>
    <w:unhideWhenUsed/>
    <w:rsid w:val="00FD0B6E"/>
    <w:rPr>
      <w:noProof/>
      <w:color w:val="2399BB" w:themeColor="hyperlink"/>
      <w:u w:val="single"/>
    </w:rPr>
  </w:style>
  <w:style w:type="paragraph" w:styleId="TOC2">
    <w:name w:val="toc 2"/>
    <w:basedOn w:val="TOC1"/>
    <w:next w:val="Normal"/>
    <w:uiPriority w:val="39"/>
    <w:unhideWhenUsed/>
    <w:qFormat/>
    <w:rsid w:val="00E931A4"/>
    <w:rPr>
      <w:caps w:val="0"/>
    </w:rPr>
  </w:style>
  <w:style w:type="paragraph" w:styleId="TOC3">
    <w:name w:val="toc 3"/>
    <w:basedOn w:val="Normal"/>
    <w:next w:val="Normal"/>
    <w:uiPriority w:val="39"/>
    <w:unhideWhenUsed/>
    <w:qFormat/>
    <w:rsid w:val="00E931A4"/>
    <w:pPr>
      <w:tabs>
        <w:tab w:val="clear" w:pos="2431"/>
        <w:tab w:val="right" w:leader="dot" w:pos="9360"/>
      </w:tabs>
      <w:spacing w:after="100"/>
      <w:ind w:left="440"/>
    </w:pPr>
    <w:rPr>
      <w:rFonts w:eastAsiaTheme="minorEastAsia" w:cs="Segoe UI"/>
      <w:noProof/>
    </w:rPr>
  </w:style>
  <w:style w:type="table" w:customStyle="1" w:styleId="SPPOfficialTableDefaultTable">
    <w:name w:val="SPP Official Table: Default Table"/>
    <w:basedOn w:val="TableNormal"/>
    <w:uiPriority w:val="99"/>
    <w:rsid w:val="00557CED"/>
    <w:pPr>
      <w:spacing w:after="0" w:line="240" w:lineRule="auto"/>
    </w:pPr>
    <w:rPr>
      <w:rFonts w:ascii="Segoe UI" w:hAnsi="Segoe UI"/>
    </w:rPr>
    <w:tblPr>
      <w:tblStyleRowBandSize w:val="1"/>
      <w:tblStyleColBandSize w:val="1"/>
      <w:tblBorders>
        <w:insideH w:val="single" w:sz="4" w:space="0" w:color="FFFFFF" w:themeColor="background1"/>
        <w:insideV w:val="single" w:sz="4" w:space="0" w:color="FFFFFF" w:themeColor="background1"/>
      </w:tblBorders>
      <w:tblCellMar>
        <w:top w:w="144" w:type="dxa"/>
        <w:left w:w="115" w:type="dxa"/>
        <w:right w:w="115" w:type="dxa"/>
      </w:tblCellMar>
    </w:tblPr>
    <w:tblStylePr w:type="firstRow">
      <w:pPr>
        <w:wordWrap/>
        <w:jc w:val="center"/>
      </w:pPr>
      <w:rPr>
        <w:rFonts w:ascii="Segoe UI" w:hAnsi="Segoe UI"/>
        <w:b/>
        <w:i w:val="0"/>
        <w:caps/>
        <w:smallCaps w:val="0"/>
        <w:color w:val="FFFFFF" w:themeColor="background1"/>
        <w:sz w:val="20"/>
      </w:rPr>
      <w:tblPr/>
      <w:tcPr>
        <w:tcBorders>
          <w:insideH w:val="single" w:sz="4" w:space="0" w:color="FFFFFF" w:themeColor="background1"/>
          <w:insideV w:val="single" w:sz="4" w:space="0" w:color="FFFFFF" w:themeColor="background1"/>
        </w:tcBorders>
        <w:shd w:val="clear" w:color="auto" w:fill="2399BB" w:themeFill="accent2"/>
      </w:tcPr>
    </w:tblStylePr>
    <w:tblStylePr w:type="lastRow">
      <w:rPr>
        <w:rFonts w:ascii="Segoe UI" w:hAnsi="Segoe UI"/>
        <w:b/>
        <w:sz w:val="20"/>
      </w:rPr>
      <w:tblPr/>
      <w:tcPr>
        <w:tcBorders>
          <w:insideH w:val="single" w:sz="4" w:space="0" w:color="FFFFFF" w:themeColor="background1"/>
          <w:insideV w:val="single" w:sz="4" w:space="0" w:color="FFFFFF" w:themeColor="background1"/>
        </w:tcBorders>
      </w:tcPr>
    </w:tblStylePr>
    <w:tblStylePr w:type="firstCol">
      <w:rPr>
        <w:rFonts w:ascii="Segoe UI" w:hAnsi="Segoe UI"/>
        <w:sz w:val="20"/>
      </w:rPr>
      <w:tblPr/>
      <w:tcPr>
        <w:tcBorders>
          <w:insideH w:val="nil"/>
          <w:insideV w:val="nil"/>
        </w:tcBorders>
      </w:tcPr>
    </w:tblStylePr>
    <w:tblStylePr w:type="lastCol">
      <w:tblPr/>
      <w:tcPr>
        <w:tcBorders>
          <w:insideH w:val="nil"/>
          <w:insideV w:val="nil"/>
        </w:tcBorders>
      </w:tcPr>
    </w:tblStylePr>
    <w:tblStylePr w:type="band1Vert">
      <w:tblPr/>
      <w:tcPr>
        <w:tcBorders>
          <w:insideH w:val="nil"/>
          <w:insideV w:val="nil"/>
        </w:tcBorders>
      </w:tcPr>
    </w:tblStylePr>
    <w:tblStylePr w:type="band2Vert">
      <w:tblPr/>
      <w:tcPr>
        <w:tcBorders>
          <w:insideH w:val="nil"/>
          <w:insideV w:val="nil"/>
        </w:tcBorders>
      </w:tcPr>
    </w:tblStylePr>
    <w:tblStylePr w:type="band1Horz">
      <w:rPr>
        <w:rFonts w:ascii="Segoe UI" w:hAnsi="Segoe UI"/>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D9D9D9" w:themeFill="background1" w:themeFillShade="D9"/>
      </w:tcPr>
    </w:tblStylePr>
    <w:tblStylePr w:type="band2Horz">
      <w:rPr>
        <w:rFonts w:ascii="Segoe UI" w:hAnsi="Segoe UI"/>
        <w:sz w:val="20"/>
      </w:rPr>
      <w:tblPr/>
      <w:tcPr>
        <w:shd w:val="clear" w:color="auto" w:fill="F2F2F2" w:themeFill="background1" w:themeFillShade="F2"/>
      </w:tcPr>
    </w:tblStylePr>
  </w:style>
  <w:style w:type="paragraph" w:customStyle="1" w:styleId="TableHeader">
    <w:name w:val="Table Header"/>
    <w:basedOn w:val="Normal"/>
    <w:qFormat/>
    <w:rsid w:val="00B43E31"/>
    <w:pPr>
      <w:jc w:val="center"/>
    </w:pPr>
    <w:rPr>
      <w:rFonts w:cs="Segoe UI"/>
      <w:bCs/>
      <w:caps/>
      <w:color w:val="FFFFFF" w:themeColor="background1"/>
    </w:rPr>
  </w:style>
  <w:style w:type="character" w:customStyle="1" w:styleId="Heading5Char">
    <w:name w:val="Heading 5 Char"/>
    <w:basedOn w:val="DefaultParagraphFont"/>
    <w:link w:val="Heading5"/>
    <w:uiPriority w:val="9"/>
    <w:rsid w:val="009A533B"/>
    <w:rPr>
      <w:rFonts w:ascii="Segoe UI" w:eastAsiaTheme="majorEastAsia" w:hAnsi="Segoe UI" w:cs="Segoe UI"/>
      <w:caps/>
      <w:sz w:val="24"/>
      <w:szCs w:val="24"/>
    </w:rPr>
  </w:style>
  <w:style w:type="character" w:customStyle="1" w:styleId="Heading6Char">
    <w:name w:val="Heading 6 Char"/>
    <w:basedOn w:val="DefaultParagraphFont"/>
    <w:link w:val="Heading6"/>
    <w:uiPriority w:val="9"/>
    <w:rsid w:val="009A533B"/>
    <w:rPr>
      <w:rFonts w:ascii="Segoe UI" w:eastAsiaTheme="majorEastAsia" w:hAnsi="Segoe UI" w:cs="Segoe UI"/>
      <w:i/>
      <w:sz w:val="24"/>
      <w:szCs w:val="24"/>
    </w:rPr>
  </w:style>
  <w:style w:type="table" w:styleId="ListTable4-Accent6">
    <w:name w:val="List Table 4 Accent 6"/>
    <w:basedOn w:val="TableNormal"/>
    <w:uiPriority w:val="49"/>
    <w:rsid w:val="00B43E31"/>
    <w:pPr>
      <w:spacing w:after="0" w:line="240" w:lineRule="auto"/>
    </w:pPr>
    <w:tblPr>
      <w:tblStyleRowBandSize w:val="1"/>
      <w:tblStyleColBandSize w:val="1"/>
      <w:tblBorders>
        <w:top w:val="single" w:sz="4" w:space="0" w:color="C9ADAD" w:themeColor="accent6" w:themeTint="99"/>
        <w:left w:val="single" w:sz="4" w:space="0" w:color="C9ADAD" w:themeColor="accent6" w:themeTint="99"/>
        <w:bottom w:val="single" w:sz="4" w:space="0" w:color="C9ADAD" w:themeColor="accent6" w:themeTint="99"/>
        <w:right w:val="single" w:sz="4" w:space="0" w:color="C9ADAD" w:themeColor="accent6" w:themeTint="99"/>
        <w:insideH w:val="single" w:sz="4" w:space="0" w:color="C9ADAD" w:themeColor="accent6" w:themeTint="99"/>
      </w:tblBorders>
    </w:tblPr>
    <w:tblStylePr w:type="firstRow">
      <w:rPr>
        <w:b/>
        <w:bCs/>
        <w:color w:val="FFFFFF" w:themeColor="background1"/>
      </w:rPr>
      <w:tblPr/>
      <w:tcPr>
        <w:tcBorders>
          <w:top w:val="single" w:sz="4" w:space="0" w:color="A67777" w:themeColor="accent6"/>
          <w:left w:val="single" w:sz="4" w:space="0" w:color="A67777" w:themeColor="accent6"/>
          <w:bottom w:val="single" w:sz="4" w:space="0" w:color="A67777" w:themeColor="accent6"/>
          <w:right w:val="single" w:sz="4" w:space="0" w:color="A67777" w:themeColor="accent6"/>
          <w:insideH w:val="nil"/>
        </w:tcBorders>
        <w:shd w:val="clear" w:color="auto" w:fill="A67777" w:themeFill="accent6"/>
      </w:tcPr>
    </w:tblStylePr>
    <w:tblStylePr w:type="lastRow">
      <w:rPr>
        <w:b/>
        <w:bCs/>
      </w:rPr>
      <w:tblPr/>
      <w:tcPr>
        <w:tcBorders>
          <w:top w:val="double" w:sz="4" w:space="0" w:color="C9ADAD" w:themeColor="accent6" w:themeTint="99"/>
        </w:tcBorders>
      </w:tcPr>
    </w:tblStylePr>
    <w:tblStylePr w:type="firstCol">
      <w:rPr>
        <w:b/>
        <w:bCs/>
      </w:rPr>
    </w:tblStylePr>
    <w:tblStylePr w:type="lastCol">
      <w:rPr>
        <w:b/>
        <w:bCs/>
      </w:rPr>
    </w:tblStylePr>
    <w:tblStylePr w:type="band1Vert">
      <w:tblPr/>
      <w:tcPr>
        <w:shd w:val="clear" w:color="auto" w:fill="EDE3E3" w:themeFill="accent6" w:themeFillTint="33"/>
      </w:tcPr>
    </w:tblStylePr>
    <w:tblStylePr w:type="band1Horz">
      <w:tblPr/>
      <w:tcPr>
        <w:shd w:val="clear" w:color="auto" w:fill="EDE3E3" w:themeFill="accent6" w:themeFillTint="33"/>
      </w:tcPr>
    </w:tblStylePr>
  </w:style>
  <w:style w:type="paragraph" w:customStyle="1" w:styleId="TableText">
    <w:name w:val="Table Text"/>
    <w:basedOn w:val="Normal"/>
    <w:qFormat/>
    <w:rsid w:val="00144B98"/>
    <w:rPr>
      <w:sz w:val="20"/>
    </w:rPr>
  </w:style>
  <w:style w:type="character" w:customStyle="1" w:styleId="Heading7Char">
    <w:name w:val="Heading 7 Char"/>
    <w:basedOn w:val="DefaultParagraphFont"/>
    <w:link w:val="Heading7"/>
    <w:uiPriority w:val="9"/>
    <w:semiHidden/>
    <w:rsid w:val="00A344F6"/>
    <w:rPr>
      <w:rFonts w:asciiTheme="majorHAnsi" w:eastAsiaTheme="majorEastAsia" w:hAnsiTheme="majorHAnsi" w:cstheme="majorBidi"/>
      <w:i/>
      <w:iCs/>
      <w:color w:val="631017" w:themeColor="accent1" w:themeShade="7F"/>
    </w:rPr>
  </w:style>
  <w:style w:type="paragraph" w:styleId="ListParagraph">
    <w:name w:val="List Paragraph"/>
    <w:basedOn w:val="Normal"/>
    <w:uiPriority w:val="34"/>
    <w:qFormat/>
    <w:rsid w:val="0016227F"/>
    <w:pPr>
      <w:numPr>
        <w:numId w:val="1"/>
      </w:numPr>
    </w:pPr>
  </w:style>
  <w:style w:type="paragraph" w:styleId="FootnoteText">
    <w:name w:val="footnote text"/>
    <w:basedOn w:val="Normal"/>
    <w:link w:val="FootnoteTextChar"/>
    <w:uiPriority w:val="99"/>
    <w:semiHidden/>
    <w:unhideWhenUsed/>
    <w:rsid w:val="00186D46"/>
    <w:pPr>
      <w:tabs>
        <w:tab w:val="clear" w:pos="2431"/>
      </w:tabs>
      <w:spacing w:after="0"/>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186D46"/>
    <w:rPr>
      <w:kern w:val="2"/>
      <w:sz w:val="20"/>
      <w:szCs w:val="20"/>
      <w14:ligatures w14:val="standardContextual"/>
    </w:rPr>
  </w:style>
  <w:style w:type="character" w:styleId="FootnoteReference">
    <w:name w:val="footnote reference"/>
    <w:basedOn w:val="DefaultParagraphFont"/>
    <w:uiPriority w:val="99"/>
    <w:semiHidden/>
    <w:unhideWhenUsed/>
    <w:rsid w:val="00186D46"/>
    <w:rPr>
      <w:vertAlign w:val="superscript"/>
    </w:rPr>
  </w:style>
  <w:style w:type="character" w:styleId="CommentReference">
    <w:name w:val="annotation reference"/>
    <w:basedOn w:val="DefaultParagraphFont"/>
    <w:uiPriority w:val="99"/>
    <w:semiHidden/>
    <w:unhideWhenUsed/>
    <w:rsid w:val="002F37C8"/>
    <w:rPr>
      <w:sz w:val="16"/>
      <w:szCs w:val="16"/>
    </w:rPr>
  </w:style>
  <w:style w:type="paragraph" w:styleId="CommentText">
    <w:name w:val="annotation text"/>
    <w:basedOn w:val="Normal"/>
    <w:link w:val="CommentTextChar"/>
    <w:uiPriority w:val="99"/>
    <w:unhideWhenUsed/>
    <w:rsid w:val="002F37C8"/>
    <w:pPr>
      <w:tabs>
        <w:tab w:val="clear" w:pos="2431"/>
      </w:tabs>
      <w:spacing w:after="16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2F37C8"/>
    <w:rPr>
      <w:kern w:val="2"/>
      <w:sz w:val="20"/>
      <w:szCs w:val="20"/>
      <w14:ligatures w14:val="standardContextual"/>
    </w:rPr>
  </w:style>
  <w:style w:type="character" w:styleId="Mention">
    <w:name w:val="Mention"/>
    <w:basedOn w:val="DefaultParagraphFont"/>
    <w:uiPriority w:val="99"/>
    <w:unhideWhenUsed/>
    <w:rsid w:val="002F37C8"/>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24CEB"/>
    <w:pPr>
      <w:tabs>
        <w:tab w:val="left" w:pos="2431"/>
      </w:tabs>
      <w:spacing w:after="240"/>
    </w:pPr>
    <w:rPr>
      <w:rFonts w:ascii="Segoe UI" w:hAnsi="Segoe UI"/>
      <w:b/>
      <w:bCs/>
      <w:kern w:val="0"/>
      <w14:ligatures w14:val="none"/>
    </w:rPr>
  </w:style>
  <w:style w:type="character" w:customStyle="1" w:styleId="CommentSubjectChar">
    <w:name w:val="Comment Subject Char"/>
    <w:basedOn w:val="CommentTextChar"/>
    <w:link w:val="CommentSubject"/>
    <w:uiPriority w:val="99"/>
    <w:semiHidden/>
    <w:rsid w:val="00624CEB"/>
    <w:rPr>
      <w:rFonts w:ascii="Segoe UI" w:hAnsi="Segoe UI"/>
      <w:b/>
      <w:bCs/>
      <w:kern w:val="2"/>
      <w:sz w:val="20"/>
      <w:szCs w:val="20"/>
      <w14:ligatures w14:val="standardContextual"/>
    </w:rPr>
  </w:style>
  <w:style w:type="paragraph" w:styleId="Revision">
    <w:name w:val="Revision"/>
    <w:hidden/>
    <w:uiPriority w:val="99"/>
    <w:semiHidden/>
    <w:rsid w:val="00C33513"/>
    <w:pPr>
      <w:spacing w:after="0" w:line="240" w:lineRule="auto"/>
    </w:pPr>
    <w:rPr>
      <w:rFonts w:ascii="Segoe UI" w:hAnsi="Segoe UI"/>
    </w:rPr>
  </w:style>
  <w:style w:type="table" w:styleId="GridTable4-Accent3">
    <w:name w:val="Grid Table 4 Accent 3"/>
    <w:basedOn w:val="TableNormal"/>
    <w:uiPriority w:val="49"/>
    <w:rsid w:val="00304E54"/>
    <w:pPr>
      <w:spacing w:after="0" w:line="240" w:lineRule="auto"/>
    </w:pPr>
    <w:tblPr>
      <w:tblStyleRowBandSize w:val="1"/>
      <w:tblStyleColBandSize w:val="1"/>
      <w:tblBorders>
        <w:top w:val="single" w:sz="4" w:space="0" w:color="6AE6C3" w:themeColor="accent3" w:themeTint="99"/>
        <w:left w:val="single" w:sz="4" w:space="0" w:color="6AE6C3" w:themeColor="accent3" w:themeTint="99"/>
        <w:bottom w:val="single" w:sz="4" w:space="0" w:color="6AE6C3" w:themeColor="accent3" w:themeTint="99"/>
        <w:right w:val="single" w:sz="4" w:space="0" w:color="6AE6C3" w:themeColor="accent3" w:themeTint="99"/>
        <w:insideH w:val="single" w:sz="4" w:space="0" w:color="6AE6C3" w:themeColor="accent3" w:themeTint="99"/>
        <w:insideV w:val="single" w:sz="4" w:space="0" w:color="6AE6C3" w:themeColor="accent3" w:themeTint="99"/>
      </w:tblBorders>
    </w:tblPr>
    <w:tblStylePr w:type="firstRow">
      <w:rPr>
        <w:b/>
        <w:bCs/>
        <w:color w:val="FFFFFF" w:themeColor="background1"/>
      </w:rPr>
      <w:tblPr/>
      <w:tcPr>
        <w:tcBorders>
          <w:top w:val="single" w:sz="4" w:space="0" w:color="1FBF92" w:themeColor="accent3"/>
          <w:left w:val="single" w:sz="4" w:space="0" w:color="1FBF92" w:themeColor="accent3"/>
          <w:bottom w:val="single" w:sz="4" w:space="0" w:color="1FBF92" w:themeColor="accent3"/>
          <w:right w:val="single" w:sz="4" w:space="0" w:color="1FBF92" w:themeColor="accent3"/>
          <w:insideH w:val="nil"/>
          <w:insideV w:val="nil"/>
        </w:tcBorders>
        <w:shd w:val="clear" w:color="auto" w:fill="1FBF92" w:themeFill="accent3"/>
      </w:tcPr>
    </w:tblStylePr>
    <w:tblStylePr w:type="lastRow">
      <w:rPr>
        <w:b/>
        <w:bCs/>
      </w:rPr>
      <w:tblPr/>
      <w:tcPr>
        <w:tcBorders>
          <w:top w:val="double" w:sz="4" w:space="0" w:color="1FBF92" w:themeColor="accent3"/>
        </w:tcBorders>
      </w:tcPr>
    </w:tblStylePr>
    <w:tblStylePr w:type="firstCol">
      <w:rPr>
        <w:b/>
        <w:bCs/>
      </w:rPr>
    </w:tblStylePr>
    <w:tblStylePr w:type="lastCol">
      <w:rPr>
        <w:b/>
        <w:bCs/>
      </w:rPr>
    </w:tblStylePr>
    <w:tblStylePr w:type="band1Vert">
      <w:tblPr/>
      <w:tcPr>
        <w:shd w:val="clear" w:color="auto" w:fill="CDF7EB" w:themeFill="accent3" w:themeFillTint="33"/>
      </w:tcPr>
    </w:tblStylePr>
    <w:tblStylePr w:type="band1Horz">
      <w:tblPr/>
      <w:tcPr>
        <w:shd w:val="clear" w:color="auto" w:fill="CDF7EB" w:themeFill="accent3" w:themeFillTint="33"/>
      </w:tcPr>
    </w:tblStylePr>
  </w:style>
  <w:style w:type="paragraph" w:customStyle="1" w:styleId="PageHeader">
    <w:name w:val="Page Header"/>
    <w:basedOn w:val="Heading4"/>
    <w:qFormat/>
    <w:rsid w:val="00CF540B"/>
    <w:pPr>
      <w:spacing w:before="0" w:after="0"/>
      <w:jc w:val="center"/>
    </w:pPr>
    <w:rPr>
      <w:rFonts w:ascii="Segoe UI" w:eastAsia="Times New Roman" w:hAnsi="Segoe UI" w:cs="Segoe UI"/>
      <w:i w:val="0"/>
      <w:color w:val="2A363B"/>
    </w:rPr>
  </w:style>
  <w:style w:type="paragraph" w:customStyle="1" w:styleId="PageSubheader">
    <w:name w:val="Page Subheader"/>
    <w:basedOn w:val="PageHeader"/>
    <w:rsid w:val="00CF540B"/>
    <w:rPr>
      <w:rFonts w:ascii="Segoe UI Semibold" w:hAnsi="Segoe UI Semibold" w:cs="Segoe UI Semibold"/>
      <w:b w:val="0"/>
      <w:bCs/>
      <w:iCs w:val="0"/>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3599">
      <w:bodyDiv w:val="1"/>
      <w:marLeft w:val="0"/>
      <w:marRight w:val="0"/>
      <w:marTop w:val="0"/>
      <w:marBottom w:val="0"/>
      <w:divBdr>
        <w:top w:val="none" w:sz="0" w:space="0" w:color="auto"/>
        <w:left w:val="none" w:sz="0" w:space="0" w:color="auto"/>
        <w:bottom w:val="none" w:sz="0" w:space="0" w:color="auto"/>
        <w:right w:val="none" w:sz="0" w:space="0" w:color="auto"/>
      </w:divBdr>
    </w:div>
    <w:div w:id="7473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rtoinsider.com/78849-biden-doubles-down-suport-us-solar-manufactu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e0903\Downloads\Report+Template+20190913%20(2).dotx" TargetMode="External"/></Relationships>
</file>

<file path=word/theme/theme1.xml><?xml version="1.0" encoding="utf-8"?>
<a:theme xmlns:a="http://schemas.openxmlformats.org/drawingml/2006/main" name="Office Theme">
  <a:themeElements>
    <a:clrScheme name="SPP Official Branding">
      <a:dk1>
        <a:srgbClr val="2A363B"/>
      </a:dk1>
      <a:lt1>
        <a:sysClr val="window" lastClr="FFFFFF"/>
      </a:lt1>
      <a:dk2>
        <a:srgbClr val="5A6770"/>
      </a:dk2>
      <a:lt2>
        <a:srgbClr val="E7E6E6"/>
      </a:lt2>
      <a:accent1>
        <a:srgbClr val="C7202F"/>
      </a:accent1>
      <a:accent2>
        <a:srgbClr val="2399BB"/>
      </a:accent2>
      <a:accent3>
        <a:srgbClr val="1FBF92"/>
      </a:accent3>
      <a:accent4>
        <a:srgbClr val="FBAB18"/>
      </a:accent4>
      <a:accent5>
        <a:srgbClr val="A142C0"/>
      </a:accent5>
      <a:accent6>
        <a:srgbClr val="A67777"/>
      </a:accent6>
      <a:hlink>
        <a:srgbClr val="2399BB"/>
      </a:hlink>
      <a:folHlink>
        <a:srgbClr val="FBAB1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4d59ec-3ca7-45ae-8048-ac80299584db">
      <Terms xmlns="http://schemas.microsoft.com/office/infopath/2007/PartnerControls"/>
    </lcf76f155ced4ddcb4097134ff3c332f>
    <TaxCatchAll xmlns="5e207819-3fdd-4ee3-a2f3-ad4d7cb83613" xsi:nil="true"/>
    <Henrik xmlns="1c4d59ec-3ca7-45ae-8048-ac80299584db">
      <UserInfo>
        <DisplayName/>
        <AccountId xsi:nil="true"/>
        <AccountType/>
      </UserInfo>
    </Henri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90DCD48A7FCC408DC1127391EAAA44" ma:contentTypeVersion="16" ma:contentTypeDescription="Create a new document." ma:contentTypeScope="" ma:versionID="f4f138a7e4d7c217f775531f16d3f2b5">
  <xsd:schema xmlns:xsd="http://www.w3.org/2001/XMLSchema" xmlns:xs="http://www.w3.org/2001/XMLSchema" xmlns:p="http://schemas.microsoft.com/office/2006/metadata/properties" xmlns:ns2="1c4d59ec-3ca7-45ae-8048-ac80299584db" xmlns:ns3="5e207819-3fdd-4ee3-a2f3-ad4d7cb83613" targetNamespace="http://schemas.microsoft.com/office/2006/metadata/properties" ma:root="true" ma:fieldsID="e0ec8269fc4aae4cabeff524c01b3ae4" ns2:_="" ns3:_="">
    <xsd:import namespace="1c4d59ec-3ca7-45ae-8048-ac80299584db"/>
    <xsd:import namespace="5e207819-3fdd-4ee3-a2f3-ad4d7cb83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Henr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59ec-3ca7-45ae-8048-ac8029958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174cf4-8bc1-4249-b783-7da8288d63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Henrik" ma:index="23" nillable="true" ma:displayName="Henrik" ma:format="Dropdown" ma:list="UserInfo" ma:SharePointGroup="0" ma:internalName="Henr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207819-3fdd-4ee3-a2f3-ad4d7cb83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50a7f2-253e-4017-9dce-cdccf0295658}" ma:internalName="TaxCatchAll" ma:showField="CatchAllData" ma:web="5e207819-3fdd-4ee3-a2f3-ad4d7cb8361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1BE5E-EEA7-4C7B-A639-EE4FA9C1C512}">
  <ds:schemaRefs>
    <ds:schemaRef ds:uri="http://purl.org/dc/dcmitype/"/>
    <ds:schemaRef ds:uri="http://schemas.microsoft.com/office/2006/metadata/properties"/>
    <ds:schemaRef ds:uri="5e207819-3fdd-4ee3-a2f3-ad4d7cb83613"/>
    <ds:schemaRef ds:uri="http://schemas.microsoft.com/office/infopath/2007/PartnerControls"/>
    <ds:schemaRef ds:uri="http://purl.org/dc/elements/1.1/"/>
    <ds:schemaRef ds:uri="http://schemas.microsoft.com/office/2006/documentManagement/types"/>
    <ds:schemaRef ds:uri="1c4d59ec-3ca7-45ae-8048-ac80299584d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55D2754-A776-4C08-AEDC-B35CA0C2EADB}">
  <ds:schemaRefs>
    <ds:schemaRef ds:uri="http://schemas.microsoft.com/sharepoint/v3/contenttype/forms"/>
  </ds:schemaRefs>
</ds:datastoreItem>
</file>

<file path=customXml/itemProps3.xml><?xml version="1.0" encoding="utf-8"?>
<ds:datastoreItem xmlns:ds="http://schemas.openxmlformats.org/officeDocument/2006/customXml" ds:itemID="{43F926AC-9229-4BB7-AAB4-CC574F00018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F066B41-483D-40A1-AA9D-C4EB01E0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59ec-3ca7-45ae-8048-ac80299584db"/>
    <ds:schemaRef ds:uri="5e207819-3fdd-4ee3-a2f3-ad4d7cb8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692091-66b8-45b5-9087-387cbcef98ca}" enabled="1" method="Privileged" siteId="{3230926a-71b7-4370-a137-197badc066a2}" removed="0"/>
</clbl:labelList>
</file>

<file path=docProps/app.xml><?xml version="1.0" encoding="utf-8"?>
<Properties xmlns="http://schemas.openxmlformats.org/officeDocument/2006/extended-properties" xmlns:vt="http://schemas.openxmlformats.org/officeDocument/2006/docPropsVTypes">
  <Template>Report+Template+20190913 (2)</Template>
  <TotalTime>1</TotalTime>
  <Pages>30</Pages>
  <Words>6802</Words>
  <Characters>35375</Characters>
  <Application>Microsoft Office Word</Application>
  <DocSecurity>0</DocSecurity>
  <Lines>436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41993</CharactersWithSpaces>
  <SharedDoc>false</SharedDoc>
  <HLinks>
    <vt:vector size="78" baseType="variant">
      <vt:variant>
        <vt:i4>2031669</vt:i4>
      </vt:variant>
      <vt:variant>
        <vt:i4>68</vt:i4>
      </vt:variant>
      <vt:variant>
        <vt:i4>0</vt:i4>
      </vt:variant>
      <vt:variant>
        <vt:i4>5</vt:i4>
      </vt:variant>
      <vt:variant>
        <vt:lpwstr/>
      </vt:variant>
      <vt:variant>
        <vt:lpwstr>_Toc170821665</vt:lpwstr>
      </vt:variant>
      <vt:variant>
        <vt:i4>2031669</vt:i4>
      </vt:variant>
      <vt:variant>
        <vt:i4>62</vt:i4>
      </vt:variant>
      <vt:variant>
        <vt:i4>0</vt:i4>
      </vt:variant>
      <vt:variant>
        <vt:i4>5</vt:i4>
      </vt:variant>
      <vt:variant>
        <vt:lpwstr/>
      </vt:variant>
      <vt:variant>
        <vt:lpwstr>_Toc170821664</vt:lpwstr>
      </vt:variant>
      <vt:variant>
        <vt:i4>2031669</vt:i4>
      </vt:variant>
      <vt:variant>
        <vt:i4>56</vt:i4>
      </vt:variant>
      <vt:variant>
        <vt:i4>0</vt:i4>
      </vt:variant>
      <vt:variant>
        <vt:i4>5</vt:i4>
      </vt:variant>
      <vt:variant>
        <vt:lpwstr/>
      </vt:variant>
      <vt:variant>
        <vt:lpwstr>_Toc170821663</vt:lpwstr>
      </vt:variant>
      <vt:variant>
        <vt:i4>2031669</vt:i4>
      </vt:variant>
      <vt:variant>
        <vt:i4>50</vt:i4>
      </vt:variant>
      <vt:variant>
        <vt:i4>0</vt:i4>
      </vt:variant>
      <vt:variant>
        <vt:i4>5</vt:i4>
      </vt:variant>
      <vt:variant>
        <vt:lpwstr/>
      </vt:variant>
      <vt:variant>
        <vt:lpwstr>_Toc170821662</vt:lpwstr>
      </vt:variant>
      <vt:variant>
        <vt:i4>2031669</vt:i4>
      </vt:variant>
      <vt:variant>
        <vt:i4>44</vt:i4>
      </vt:variant>
      <vt:variant>
        <vt:i4>0</vt:i4>
      </vt:variant>
      <vt:variant>
        <vt:i4>5</vt:i4>
      </vt:variant>
      <vt:variant>
        <vt:lpwstr/>
      </vt:variant>
      <vt:variant>
        <vt:lpwstr>_Toc170821661</vt:lpwstr>
      </vt:variant>
      <vt:variant>
        <vt:i4>2031669</vt:i4>
      </vt:variant>
      <vt:variant>
        <vt:i4>38</vt:i4>
      </vt:variant>
      <vt:variant>
        <vt:i4>0</vt:i4>
      </vt:variant>
      <vt:variant>
        <vt:i4>5</vt:i4>
      </vt:variant>
      <vt:variant>
        <vt:lpwstr/>
      </vt:variant>
      <vt:variant>
        <vt:lpwstr>_Toc170821660</vt:lpwstr>
      </vt:variant>
      <vt:variant>
        <vt:i4>1835061</vt:i4>
      </vt:variant>
      <vt:variant>
        <vt:i4>32</vt:i4>
      </vt:variant>
      <vt:variant>
        <vt:i4>0</vt:i4>
      </vt:variant>
      <vt:variant>
        <vt:i4>5</vt:i4>
      </vt:variant>
      <vt:variant>
        <vt:lpwstr/>
      </vt:variant>
      <vt:variant>
        <vt:lpwstr>_Toc170821659</vt:lpwstr>
      </vt:variant>
      <vt:variant>
        <vt:i4>1835061</vt:i4>
      </vt:variant>
      <vt:variant>
        <vt:i4>26</vt:i4>
      </vt:variant>
      <vt:variant>
        <vt:i4>0</vt:i4>
      </vt:variant>
      <vt:variant>
        <vt:i4>5</vt:i4>
      </vt:variant>
      <vt:variant>
        <vt:lpwstr/>
      </vt:variant>
      <vt:variant>
        <vt:lpwstr>_Toc170821658</vt:lpwstr>
      </vt:variant>
      <vt:variant>
        <vt:i4>1835061</vt:i4>
      </vt:variant>
      <vt:variant>
        <vt:i4>20</vt:i4>
      </vt:variant>
      <vt:variant>
        <vt:i4>0</vt:i4>
      </vt:variant>
      <vt:variant>
        <vt:i4>5</vt:i4>
      </vt:variant>
      <vt:variant>
        <vt:lpwstr/>
      </vt:variant>
      <vt:variant>
        <vt:lpwstr>_Toc170821657</vt:lpwstr>
      </vt:variant>
      <vt:variant>
        <vt:i4>1835061</vt:i4>
      </vt:variant>
      <vt:variant>
        <vt:i4>14</vt:i4>
      </vt:variant>
      <vt:variant>
        <vt:i4>0</vt:i4>
      </vt:variant>
      <vt:variant>
        <vt:i4>5</vt:i4>
      </vt:variant>
      <vt:variant>
        <vt:lpwstr/>
      </vt:variant>
      <vt:variant>
        <vt:lpwstr>_Toc170821656</vt:lpwstr>
      </vt:variant>
      <vt:variant>
        <vt:i4>1835061</vt:i4>
      </vt:variant>
      <vt:variant>
        <vt:i4>8</vt:i4>
      </vt:variant>
      <vt:variant>
        <vt:i4>0</vt:i4>
      </vt:variant>
      <vt:variant>
        <vt:i4>5</vt:i4>
      </vt:variant>
      <vt:variant>
        <vt:lpwstr/>
      </vt:variant>
      <vt:variant>
        <vt:lpwstr>_Toc170821655</vt:lpwstr>
      </vt:variant>
      <vt:variant>
        <vt:i4>1835061</vt:i4>
      </vt:variant>
      <vt:variant>
        <vt:i4>2</vt:i4>
      </vt:variant>
      <vt:variant>
        <vt:i4>0</vt:i4>
      </vt:variant>
      <vt:variant>
        <vt:i4>5</vt:i4>
      </vt:variant>
      <vt:variant>
        <vt:lpwstr/>
      </vt:variant>
      <vt:variant>
        <vt:lpwstr>_Toc170821654</vt:lpwstr>
      </vt:variant>
      <vt:variant>
        <vt:i4>7798826</vt:i4>
      </vt:variant>
      <vt:variant>
        <vt:i4>3</vt:i4>
      </vt:variant>
      <vt:variant>
        <vt:i4>0</vt:i4>
      </vt:variant>
      <vt:variant>
        <vt:i4>5</vt:i4>
      </vt:variant>
      <vt:variant>
        <vt:lpwstr>https://www.rtoinsider.com/78849-biden-doubles-down-suport-us-solar-manufacturing/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Ellis</dc:creator>
  <cp:keywords/>
  <dc:description/>
  <cp:lastModifiedBy>Ken Sands</cp:lastModifiedBy>
  <cp:revision>2</cp:revision>
  <cp:lastPrinted>2024-10-01T14:20:00Z</cp:lastPrinted>
  <dcterms:created xsi:type="dcterms:W3CDTF">2025-01-05T15:17:00Z</dcterms:created>
  <dcterms:modified xsi:type="dcterms:W3CDTF">2025-01-05T15:17:00Z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462c74-252a-40f3-94ee-5a25abdf097a_Enabled">
    <vt:lpwstr>true</vt:lpwstr>
  </property>
  <property fmtid="{D5CDD505-2E9C-101B-9397-08002B2CF9AE}" pid="3" name="MSIP_Label_22462c74-252a-40f3-94ee-5a25abdf097a_SetDate">
    <vt:lpwstr>2024-04-10T16:24:52Z</vt:lpwstr>
  </property>
  <property fmtid="{D5CDD505-2E9C-101B-9397-08002B2CF9AE}" pid="4" name="MSIP_Label_22462c74-252a-40f3-94ee-5a25abdf097a_Method">
    <vt:lpwstr>Standard</vt:lpwstr>
  </property>
  <property fmtid="{D5CDD505-2E9C-101B-9397-08002B2CF9AE}" pid="5" name="MSIP_Label_22462c74-252a-40f3-94ee-5a25abdf097a_Name">
    <vt:lpwstr>Internal</vt:lpwstr>
  </property>
  <property fmtid="{D5CDD505-2E9C-101B-9397-08002B2CF9AE}" pid="6" name="MSIP_Label_22462c74-252a-40f3-94ee-5a25abdf097a_SiteId">
    <vt:lpwstr>3230926a-71b7-4370-a137-197badc066a2</vt:lpwstr>
  </property>
  <property fmtid="{D5CDD505-2E9C-101B-9397-08002B2CF9AE}" pid="7" name="MSIP_Label_22462c74-252a-40f3-94ee-5a25abdf097a_ActionId">
    <vt:lpwstr>8a311213-f139-45f3-b755-090a7989e131</vt:lpwstr>
  </property>
  <property fmtid="{D5CDD505-2E9C-101B-9397-08002B2CF9AE}" pid="8" name="MSIP_Label_22462c74-252a-40f3-94ee-5a25abdf097a_ContentBits">
    <vt:lpwstr>2</vt:lpwstr>
  </property>
  <property fmtid="{D5CDD505-2E9C-101B-9397-08002B2CF9AE}" pid="9" name="ContentTypeId">
    <vt:lpwstr>0x0101000C90DCD48A7FCC408DC1127391EAAA44</vt:lpwstr>
  </property>
  <property fmtid="{D5CDD505-2E9C-101B-9397-08002B2CF9AE}" pid="10" name="MediaServiceImageTags">
    <vt:lpwstr/>
  </property>
</Properties>
</file>